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版本号：ZZXH-HZ-06320260313002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汉中市西乡县茶镇2026年中央财政以工代赈项目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ZZXH-HZ-063</w:t>
      </w:r>
      <w:r>
        <w:br/>
      </w:r>
      <w:r>
        <w:br/>
      </w:r>
      <w:r>
        <w:br/>
      </w:r>
    </w:p>
    <w:p>
      <w:pPr>
        <w:pStyle w:val="null3"/>
        <w:jc w:val="center"/>
        <w:outlineLvl w:val="2"/>
      </w:pPr>
      <w:r>
        <w:rPr>
          <w:rFonts w:ascii="仿宋_GB2312" w:hAnsi="仿宋_GB2312" w:cs="仿宋_GB2312" w:eastAsia="仿宋_GB2312"/>
          <w:sz w:val="28"/>
          <w:b/>
        </w:rPr>
        <w:t>西乡县茶镇人民政府</w:t>
      </w:r>
    </w:p>
    <w:p>
      <w:pPr>
        <w:pStyle w:val="null3"/>
        <w:jc w:val="center"/>
        <w:outlineLvl w:val="2"/>
      </w:pPr>
      <w:r>
        <w:rPr>
          <w:rFonts w:ascii="仿宋_GB2312" w:hAnsi="仿宋_GB2312" w:cs="仿宋_GB2312" w:eastAsia="仿宋_GB2312"/>
          <w:sz w:val="28"/>
          <w:b/>
        </w:rPr>
        <w:t>中正信合项目管理有限公司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中正信合项目管理有限公司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西乡县茶镇人民政府</w:t>
      </w:r>
      <w:r>
        <w:rPr>
          <w:rFonts w:ascii="仿宋_GB2312" w:hAnsi="仿宋_GB2312" w:cs="仿宋_GB2312" w:eastAsia="仿宋_GB2312"/>
        </w:rPr>
        <w:t>委托，拟对</w:t>
      </w:r>
      <w:r>
        <w:rPr>
          <w:rFonts w:ascii="仿宋_GB2312" w:hAnsi="仿宋_GB2312" w:cs="仿宋_GB2312" w:eastAsia="仿宋_GB2312"/>
        </w:rPr>
        <w:t>汉中市西乡县茶镇2026年中央财政以工代赈项目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ZZXH-HZ-063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汉中市西乡县茶镇2026年中央财政以工代赈项目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新建生产道路5.1公里，路面宽度3.5米，厚0.18米;新建D400过路管涵5·座，长30米，新建D600过路管涵1座，长6米。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采购包1（汉中市西乡县茶镇 2026 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 向采购人提供相关服务的企业法人、其他组织 或者自然人，企业法人应提供统一社会信用代码的营业执照；其他组织应提供合法证明文件 ；自然人应提供身份证明文件;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 权代表参加投标的，须出具法定代表人授权书 及授权代表身份证(附法定代表人身份证复印件 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 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4、资质：投标供应商具有行政主管部门核发的公路工程施工总承包三级（含三级）及以上资质，且具有有效的安全生产许可证；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5、项目经理：项目经理须具有公路工程二级及以上注册建造师执业资格，并具有交通行政主管部门核发的安全考核 B 类证书且无在建工程（提供无在建承诺书）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15771862279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中正信合项目管理有限公司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陕西省汉中市汉台区前进中路中航建筑设计院.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程兴莉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09168832489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开户名称：中正信合项目管理有限公司汉中分公司</w:t>
            </w:r>
          </w:p>
          <w:p>
            <w:pPr>
              <w:pStyle w:val="null3"/>
            </w:pPr>
            <w:r>
              <w:rPr>
                <w:rFonts w:ascii="仿宋_GB2312" w:hAnsi="仿宋_GB2312" w:cs="仿宋_GB2312" w:eastAsia="仿宋_GB2312"/>
              </w:rPr>
              <w:t>开户银行：中国建设银行股份有限公司汉中汉宁路支行</w:t>
            </w:r>
          </w:p>
          <w:p>
            <w:pPr>
              <w:pStyle w:val="null3"/>
            </w:pPr>
            <w:r>
              <w:rPr>
                <w:rFonts w:ascii="仿宋_GB2312" w:hAnsi="仿宋_GB2312" w:cs="仿宋_GB2312" w:eastAsia="仿宋_GB2312"/>
              </w:rPr>
              <w:t>银行账号：61050165420000000558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说明：领取中标通知书后</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代理服务费收费标准：参照国家计委关于印发《采购代理服务收遗管理者行办法的造知》(计价 格[2002]1960号)、《关于招标代理服务收费有关问题的通知》(发改办价格(203)857号)以及《国家发展改革委关于降低部分建设项目收费标准规范收费行为等 有关问题的通知》(发政价格(201)534号)的标准收取。(具体金额须以采购结果公告发布为准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西乡县茶镇人民政府</w:t>
      </w:r>
      <w:r>
        <w:rPr>
          <w:rFonts w:ascii="仿宋_GB2312" w:hAnsi="仿宋_GB2312" w:cs="仿宋_GB2312" w:eastAsia="仿宋_GB2312"/>
        </w:rPr>
        <w:t>和</w:t>
      </w:r>
      <w:r>
        <w:rPr>
          <w:rFonts w:ascii="仿宋_GB2312" w:hAnsi="仿宋_GB2312" w:cs="仿宋_GB2312" w:eastAsia="仿宋_GB2312"/>
        </w:rPr>
        <w:t>中正信合项目管理有限公司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中正信合项目管理有限公司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中正信合项目管理有限公司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联系人：程兴莉</w:t>
      </w:r>
    </w:p>
    <w:p>
      <w:pPr>
        <w:pStyle w:val="null3"/>
      </w:pPr>
      <w:r>
        <w:rPr>
          <w:rFonts w:ascii="仿宋_GB2312" w:hAnsi="仿宋_GB2312" w:cs="仿宋_GB2312" w:eastAsia="仿宋_GB2312"/>
        </w:rPr>
        <w:t>联系电话：09168832489</w:t>
      </w:r>
    </w:p>
    <w:p>
      <w:pPr>
        <w:pStyle w:val="null3"/>
      </w:pPr>
      <w:r>
        <w:rPr>
          <w:rFonts w:ascii="仿宋_GB2312" w:hAnsi="仿宋_GB2312" w:cs="仿宋_GB2312" w:eastAsia="仿宋_GB2312"/>
        </w:rPr>
        <w:t>地址：陕西省汉中市汉台区前进中路中航建筑设计院.</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1,999,000.00</w:t>
      </w:r>
    </w:p>
    <w:p>
      <w:pPr>
        <w:pStyle w:val="null3"/>
      </w:pPr>
      <w:r>
        <w:rPr>
          <w:rFonts w:ascii="仿宋_GB2312" w:hAnsi="仿宋_GB2312" w:cs="仿宋_GB2312" w:eastAsia="仿宋_GB2312"/>
        </w:rPr>
        <w:t>采购包最高限价（元）: 1,998,999.92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商务要求：</w:t>
            </w:r>
          </w:p>
          <w:p>
            <w:pPr>
              <w:pStyle w:val="null3"/>
            </w:pPr>
            <w:r>
              <w:rPr>
                <w:rFonts w:ascii="仿宋_GB2312" w:hAnsi="仿宋_GB2312" w:cs="仿宋_GB2312" w:eastAsia="仿宋_GB2312"/>
                <w:sz w:val="16"/>
                <w:color w:val="000000"/>
              </w:rPr>
              <w:t>1. 工期：60日历天。</w:t>
            </w:r>
          </w:p>
          <w:p>
            <w:pPr>
              <w:pStyle w:val="null3"/>
            </w:pPr>
            <w:r>
              <w:rPr>
                <w:rFonts w:ascii="仿宋_GB2312" w:hAnsi="仿宋_GB2312" w:cs="仿宋_GB2312" w:eastAsia="仿宋_GB2312"/>
                <w:sz w:val="16"/>
                <w:color w:val="000000"/>
              </w:rPr>
              <w:t>2. 质量要求：符合国家现行有关施工质量验收规范“合格”要求 。</w:t>
            </w:r>
          </w:p>
          <w:p>
            <w:pPr>
              <w:pStyle w:val="null3"/>
            </w:pPr>
            <w:r>
              <w:rPr>
                <w:rFonts w:ascii="仿宋_GB2312" w:hAnsi="仿宋_GB2312" w:cs="仿宋_GB2312" w:eastAsia="仿宋_GB2312"/>
                <w:sz w:val="16"/>
                <w:color w:val="000000"/>
              </w:rPr>
              <w:t>3. 缺陷责任期：工程验收合格后 12个月。</w:t>
            </w:r>
          </w:p>
          <w:p>
            <w:pPr>
              <w:pStyle w:val="null3"/>
            </w:pPr>
            <w:r>
              <w:rPr>
                <w:rFonts w:ascii="仿宋_GB2312" w:hAnsi="仿宋_GB2312" w:cs="仿宋_GB2312" w:eastAsia="仿宋_GB2312"/>
                <w:sz w:val="16"/>
                <w:color w:val="000000"/>
              </w:rPr>
              <w:t>4. 漏项处理：施工过程中发现工程量清单中存在漏项工程的，该漏项工程作为本项目采购的组成部分，采购人和供应商可以按照双方合同的规定协商解决。</w:t>
            </w:r>
          </w:p>
          <w:p>
            <w:pPr>
              <w:pStyle w:val="null3"/>
            </w:pPr>
            <w:r>
              <w:rPr>
                <w:rFonts w:ascii="仿宋_GB2312" w:hAnsi="仿宋_GB2312" w:cs="仿宋_GB2312" w:eastAsia="仿宋_GB2312"/>
                <w:sz w:val="16"/>
                <w:color w:val="000000"/>
              </w:rPr>
              <w:t>5. 施工要求：</w:t>
            </w:r>
          </w:p>
          <w:p>
            <w:pPr>
              <w:pStyle w:val="null3"/>
            </w:pPr>
            <w:r>
              <w:rPr>
                <w:rFonts w:ascii="仿宋_GB2312" w:hAnsi="仿宋_GB2312" w:cs="仿宋_GB2312" w:eastAsia="仿宋_GB2312"/>
                <w:sz w:val="16"/>
                <w:color w:val="000000"/>
              </w:rPr>
              <w:t>5.1 遵守国家相关法律、法规，遵守国家相关技术规范；</w:t>
            </w:r>
          </w:p>
          <w:p>
            <w:pPr>
              <w:pStyle w:val="null3"/>
            </w:pPr>
            <w:r>
              <w:rPr>
                <w:rFonts w:ascii="仿宋_GB2312" w:hAnsi="仿宋_GB2312" w:cs="仿宋_GB2312" w:eastAsia="仿宋_GB2312"/>
                <w:sz w:val="16"/>
                <w:color w:val="000000"/>
              </w:rPr>
              <w:t>5.2 所选材料必须保证质量可靠、进货渠道正常，符合国家环保等相关标准，满足施工要求；</w:t>
            </w:r>
          </w:p>
          <w:p>
            <w:pPr>
              <w:pStyle w:val="null3"/>
            </w:pPr>
            <w:r>
              <w:rPr>
                <w:rFonts w:ascii="仿宋_GB2312" w:hAnsi="仿宋_GB2312" w:cs="仿宋_GB2312" w:eastAsia="仿宋_GB2312"/>
                <w:sz w:val="16"/>
                <w:color w:val="000000"/>
              </w:rPr>
              <w:t>5.3 工程质量符合国家有关规范，确保达到合格；</w:t>
            </w:r>
          </w:p>
          <w:p>
            <w:pPr>
              <w:pStyle w:val="null3"/>
            </w:pPr>
            <w:r>
              <w:rPr>
                <w:rFonts w:ascii="仿宋_GB2312" w:hAnsi="仿宋_GB2312" w:cs="仿宋_GB2312" w:eastAsia="仿宋_GB2312"/>
                <w:sz w:val="16"/>
                <w:color w:val="000000"/>
              </w:rPr>
              <w:t>5.4 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sz w:val="16"/>
                <w:color w:val="000000"/>
              </w:rPr>
              <w:t>5.5 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16"/>
                <w:color w:val="000000"/>
              </w:rPr>
              <w:t>5.6 本工程不允许转包；</w:t>
            </w:r>
          </w:p>
          <w:p>
            <w:pPr>
              <w:pStyle w:val="null3"/>
            </w:pPr>
            <w:r>
              <w:rPr>
                <w:rFonts w:ascii="仿宋_GB2312" w:hAnsi="仿宋_GB2312" w:cs="仿宋_GB2312" w:eastAsia="仿宋_GB2312"/>
                <w:sz w:val="16"/>
                <w:color w:val="000000"/>
              </w:rPr>
              <w:t>5.7 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16"/>
                <w:color w:val="000000"/>
              </w:rPr>
              <w:t>6.质量验收标准或规范：</w:t>
            </w:r>
          </w:p>
          <w:p>
            <w:pPr>
              <w:pStyle w:val="null3"/>
            </w:pPr>
            <w:r>
              <w:rPr>
                <w:rFonts w:ascii="仿宋_GB2312" w:hAnsi="仿宋_GB2312" w:cs="仿宋_GB2312" w:eastAsia="仿宋_GB2312"/>
                <w:sz w:val="16"/>
                <w:color w:val="000000"/>
              </w:rPr>
              <w:t>6.1 国家现行有关法律、法规、环保和技术指标；</w:t>
            </w:r>
          </w:p>
          <w:p>
            <w:pPr>
              <w:pStyle w:val="null3"/>
            </w:pPr>
            <w:r>
              <w:rPr>
                <w:rFonts w:ascii="仿宋_GB2312" w:hAnsi="仿宋_GB2312" w:cs="仿宋_GB2312" w:eastAsia="仿宋_GB2312"/>
                <w:sz w:val="16"/>
                <w:color w:val="000000"/>
              </w:rPr>
              <w:t>6.2 本项目施工合同；</w:t>
            </w:r>
          </w:p>
          <w:p>
            <w:pPr>
              <w:pStyle w:val="null3"/>
            </w:pPr>
            <w:r>
              <w:rPr>
                <w:rFonts w:ascii="仿宋_GB2312" w:hAnsi="仿宋_GB2312" w:cs="仿宋_GB2312" w:eastAsia="仿宋_GB2312"/>
                <w:sz w:val="16"/>
                <w:color w:val="000000"/>
              </w:rPr>
              <w:t>6.3 经批准的设计文件及工程变更文件；</w:t>
            </w:r>
          </w:p>
          <w:p>
            <w:pPr>
              <w:pStyle w:val="null3"/>
            </w:pPr>
            <w:r>
              <w:rPr>
                <w:rFonts w:ascii="仿宋_GB2312" w:hAnsi="仿宋_GB2312" w:cs="仿宋_GB2312" w:eastAsia="仿宋_GB2312"/>
                <w:sz w:val="16"/>
                <w:color w:val="000000"/>
              </w:rPr>
              <w:t>6.4 有关部政府部门的规定。</w:t>
            </w:r>
          </w:p>
          <w:p>
            <w:pPr>
              <w:pStyle w:val="null3"/>
            </w:pPr>
            <w:r>
              <w:rPr>
                <w:rFonts w:ascii="仿宋_GB2312" w:hAnsi="仿宋_GB2312" w:cs="仿宋_GB2312" w:eastAsia="仿宋_GB2312"/>
                <w:sz w:val="16"/>
                <w:color w:val="000000"/>
              </w:rPr>
              <w:t>7.项目检验与验收：</w:t>
            </w:r>
          </w:p>
          <w:p>
            <w:pPr>
              <w:pStyle w:val="null3"/>
            </w:pPr>
            <w:r>
              <w:rPr>
                <w:rFonts w:ascii="仿宋_GB2312" w:hAnsi="仿宋_GB2312" w:cs="仿宋_GB2312" w:eastAsia="仿宋_GB2312"/>
                <w:sz w:val="16"/>
                <w:color w:val="000000"/>
              </w:rPr>
              <w:t>7.1 成交供应商向采购人提交项目实施过程中的所有资料；</w:t>
            </w:r>
          </w:p>
          <w:p>
            <w:pPr>
              <w:pStyle w:val="null3"/>
            </w:pPr>
            <w:r>
              <w:rPr>
                <w:rFonts w:ascii="仿宋_GB2312" w:hAnsi="仿宋_GB2312" w:cs="仿宋_GB2312" w:eastAsia="仿宋_GB2312"/>
                <w:sz w:val="16"/>
                <w:color w:val="000000"/>
              </w:rPr>
              <w:t>7.2 验收须以合同、磋商文件及响应文件、澄清、及国家相应的标准、规范等为依据。</w:t>
            </w:r>
          </w:p>
          <w:p>
            <w:pPr>
              <w:pStyle w:val="null3"/>
            </w:pPr>
            <w:r>
              <w:rPr>
                <w:rFonts w:ascii="仿宋_GB2312" w:hAnsi="仿宋_GB2312" w:cs="仿宋_GB2312" w:eastAsia="仿宋_GB2312"/>
                <w:sz w:val="16"/>
                <w:color w:val="000000"/>
              </w:rPr>
              <w:t>8.合同的变更、中止、终止：合同一经签订，不得擅自变更、中止或者终止合同。对确需变更、调整或者中止、终止合同的，由双方协商解决。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16"/>
                <w:color w:val="000000"/>
              </w:rPr>
              <w:t>9.合同争议的处理：合同在履行过程中发生的争议，当事人双方应协商解决，协商达不成一致时，可向采购方所在地仲裁委员会申请仲裁或者向人民法院提请诉讼。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sz w:val="16"/>
                <w:color w:val="000000"/>
              </w:rPr>
              <w:t>10.违约责任：</w:t>
            </w:r>
          </w:p>
          <w:p>
            <w:pPr>
              <w:pStyle w:val="null3"/>
            </w:pPr>
            <w:r>
              <w:rPr>
                <w:rFonts w:ascii="仿宋_GB2312" w:hAnsi="仿宋_GB2312" w:cs="仿宋_GB2312" w:eastAsia="仿宋_GB2312"/>
                <w:sz w:val="16"/>
                <w:color w:val="000000"/>
              </w:rPr>
              <w:t>10.1 按《中华人民共和国政府采购法》《中华人民共和国民法典》中的相关条款执行；</w:t>
            </w:r>
          </w:p>
          <w:p>
            <w:pPr>
              <w:pStyle w:val="null3"/>
            </w:pPr>
            <w:r>
              <w:rPr>
                <w:rFonts w:ascii="仿宋_GB2312" w:hAnsi="仿宋_GB2312" w:cs="仿宋_GB2312" w:eastAsia="仿宋_GB2312"/>
                <w:sz w:val="16"/>
                <w:color w:val="000000"/>
              </w:rPr>
              <w:t>10.2 未按要求提供货物、质量、环保标准不能满足技术要求的，施工方必须无条件更换，否则，采购单位有权终止合同，并对施工方的违约行为报监管机构进行相应的处罚。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本项目最高限价编制依据：</w:t>
            </w:r>
          </w:p>
          <w:p>
            <w:pPr>
              <w:pStyle w:val="null3"/>
            </w:pPr>
            <w:r>
              <w:rPr>
                <w:rFonts w:ascii="仿宋_GB2312" w:hAnsi="仿宋_GB2312" w:cs="仿宋_GB2312" w:eastAsia="仿宋_GB2312"/>
              </w:rPr>
              <w:t>1．《汉中市西乡县茶镇2026年中央财政以工代赈项目》设计图；</w:t>
            </w:r>
            <w:r>
              <w:br/>
            </w:r>
            <w:r>
              <w:rPr>
                <w:rFonts w:ascii="仿宋_GB2312" w:hAnsi="仿宋_GB2312" w:cs="仿宋_GB2312" w:eastAsia="仿宋_GB2312"/>
              </w:rPr>
              <w:t xml:space="preserve"> 2．《公路工程建设项目概算预算编制办法》（JTG3830-2018），以下简称“编制办法”；</w:t>
            </w:r>
            <w:r>
              <w:br/>
            </w:r>
            <w:r>
              <w:rPr>
                <w:rFonts w:ascii="仿宋_GB2312" w:hAnsi="仿宋_GB2312" w:cs="仿宋_GB2312" w:eastAsia="仿宋_GB2312"/>
              </w:rPr>
              <w:t xml:space="preserve"> 3．《公路工程预算定额》（JTG/T 3832—2018）；</w:t>
            </w:r>
            <w:r>
              <w:br/>
            </w:r>
            <w:r>
              <w:rPr>
                <w:rFonts w:ascii="仿宋_GB2312" w:hAnsi="仿宋_GB2312" w:cs="仿宋_GB2312" w:eastAsia="仿宋_GB2312"/>
              </w:rPr>
              <w:t xml:space="preserve"> 4．《公路工程机械台班费用定额》（JTG/T 3833—2018）；</w:t>
            </w:r>
            <w:r>
              <w:br/>
            </w:r>
            <w:r>
              <w:rPr>
                <w:rFonts w:ascii="仿宋_GB2312" w:hAnsi="仿宋_GB2312" w:cs="仿宋_GB2312" w:eastAsia="仿宋_GB2312"/>
              </w:rPr>
              <w:t xml:space="preserve"> 5．交通运输部办公厅关于印发《公路工程营业税改征增值税计价依据调整方案》的通知，交办公路〔2016〕66号文；</w:t>
            </w:r>
            <w:r>
              <w:br/>
            </w:r>
            <w:r>
              <w:rPr>
                <w:rFonts w:ascii="仿宋_GB2312" w:hAnsi="仿宋_GB2312" w:cs="仿宋_GB2312" w:eastAsia="仿宋_GB2312"/>
              </w:rPr>
              <w:t xml:space="preserve"> 6．住房和城乡建设部办公厅关于《重新调整建设工程计价依据增值税税率》的通知，建办标函〔2019〕193 号文；</w:t>
            </w:r>
            <w:r>
              <w:br/>
            </w:r>
            <w:r>
              <w:rPr>
                <w:rFonts w:ascii="仿宋_GB2312" w:hAnsi="仿宋_GB2312" w:cs="仿宋_GB2312" w:eastAsia="仿宋_GB2312"/>
              </w:rPr>
              <w:t xml:space="preserve"> 7．陕西省交通运输厅关于印发《&lt;公路工程建设项目投资估算编制办法&gt;&lt;公路工程建设项目概算预算编制办法&gt;补充规定》的通知，陕交发〔2019〕93 号文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线下递交响应文件地点： 1.特别注意:为顺利推进政府采购电子化交易平台应用工作，供应商均在线提交所有通过电子化交易平台实施的政府采购项目的 磋商响应文件。 2.成交供应商在采购结果发布后3个工作日内向代理机构提交纸质版响应文件以便于存档，响应文件正本1份，副本1份（可以使用签章文件直接打印），电子版文件1份（以U盘为载体，PDF格式）。线下递交响应文件地点：汉中市汉台区前进中路中航建筑设计院3楼。 3.如磋商文件中中小企业融资相关内容与新政策要求有出入，按照最新要求执行。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 向采购人提供相关服务的企业法人、其他组织 或者自然人，企业法人应提供统一社会信用代码的营业执照；其他组织应提供合法证明文件 ；自然人应提供身份证明文件;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 权代表参加投标的，须出具法定代表人授权书 及授权代表身份证(附法定代表人身份证复印件 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 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项目经理须具有公路工程二级及以上注册建造师执业资格，并具有交通行政主管部门核发的安全考核 B 类证书且无在建工程（提供无在建承诺书）</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已标价工程量清单 质量保障措施.pdf 中小企业声明函 商务要求响应表.pdf 业绩.pdf 施工承诺.pdf 安全文明措施.pdf 响应文件封面 拟投入本工程的主要施工设备表.pdf 拟派团队人员配置表.pdf 进度计划.pdf 残疾人福利性单位声明函 报价函 供应商应提交的相关资格证明材料.pdf 项目经理简历表.pdf 标的清单 响应函 监狱企业的证明文件 环境保障措施.pdf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 超过采购预算金额或最高限价</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是否缴纳了本项目投标保证金</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已标价工程量清单 质量保障措施.pdf 中小企业声明函 商务要求响应表.pdf 业绩.pdf 施工承诺.pdf 安全文明措施.pdf 响应文件封面 拟投入本工程的主要施工设备表.pdf 拟派团队人员配置表.pdf 进度计划.pdf 残疾人福利性单位声明函 报价函 供应商应提交的相关资格证明材料.pdf 项目经理简历表.pdf 标的清单 响应函 监狱企业的证明文件 环境保障措施.pdf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提供施工供应商 2023 年1 月 至今（以合同签订日期为准）同 类施工项目 业绩；每提供 1 份有 效业绩得 1 .5分，本项最高得 3分 。 备注：业绩证明以合同为准，须 在磋商响应文件中附合同的关键页 （包含但不限于项目名称页、项目内容页、金额页、签署盖章页等） 的复印件，弄虚作假者，取消其成交资格。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针对本项目作出合理有效的工程施工承诺（主要体现不得拖欠施工人员工资、给施工人员缴纳保险、承诺群众务工组织要求（ 项目区不少于77人参加工程建设）、承诺劳务报酬发放（ 发放劳务报酬不低于84万元）等），每提供1条得1分，满分4分；不提供不得分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评审内容： 所配备项目技术负责人、施工员、质检员、安全员、材料员，具备相关专业技术职称或岗位证书。 二、评审标准： 全部满足得 5 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拟派团队人员配置表.pdf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实施方案；②具体施工组织方案；③成本目标；④工期目标。⑤工程重难点及解决措 施根据响应内容进行综合评审。 方案各部分内容全面详细、阐述条理清晰详尽，有针对性，切实可行，得 25 分；以上分项每缺少一项内容扣 5 分；有某一项不完整或不能确保项目顺利实施或套用其他项目内容的扣1分。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内容包含：①施工进度计划横道图 ②进度计划保证措施③工期保证措施。 二、评审标准 1、完整性：方 案必须全面，对评审内容中的各项 要求有详细描述； 2、可实施性： 切合本项目实际情况，提出步骤清 晰 、合理的方案； 3、针对性：方案能够紧扣项目实际情况，内容科学合理。 三、赋分标准（满分9分 ） ①施工进度计划图：每完全满足 一个评审标准得1分，满分3分； ② 进度计划 保证措施：每完全满足一 个评审标准得1分，满分3分； ③工 期保证措施：每完全满足一个评审 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供应商针对本项目编制完善的质量保证措施，内容包含：①质量目标 管理体系②施工质量的检验制度③ 确保质量的技术组织措施④施工质 量控制措施。 二、评审标准 1、完 整性：方案必须全面，对评审内容 中的各项要求有详细描述； 2、可实施性：切合本项目实际情况，提 出步骤清晰、合理的方案； 3、针对性：方案能够紧扣项目实际情况 ，内容科学合理。 三、赋分标准（ 满分6分） ①质量目标管理体系： 每完全满足一个评审标准得0.5分 ，满分1.5分； ②施工质量检验制 度：每完全满足一个评审标准得0. 5分，满分1.5分； ③确保质量的技 术组织措施：每完全满足一个评审 标准得0.5分，满分1.5分； ④施工质量控制措施：每完全满足一个评 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安全文明措施</w:t>
            </w:r>
          </w:p>
        </w:tc>
        <w:tc>
          <w:tcPr>
            <w:tcW w:type="dxa" w:w="2492"/>
          </w:tcPr>
          <w:p>
            <w:pPr>
              <w:pStyle w:val="null3"/>
            </w:pPr>
            <w:r>
              <w:rPr>
                <w:rFonts w:ascii="仿宋_GB2312" w:hAnsi="仿宋_GB2312" w:cs="仿宋_GB2312" w:eastAsia="仿宋_GB2312"/>
              </w:rPr>
              <w:t>供应商针对本项目编制完整的安全 施工措施，内容包含：①安全生产 管理制度②安全文明施工措施③安 全应急预案④安全生产教育。 二、 评审标准 1、完整性：方案 必须全 面，对评审内容中的各项要求有详 细描述； 2、可实施性：切合本项 目实际情况， 提出步骤清晰、合理 的方案； 3、针对性：方案能够紧 扣项目实际情况，内容科学合理。 三、赋分标准（满分6分） ①安全 生产管理制度：每完全满足一个评 审标准得0.5分，满分1.5分； ②安 全文明施工措施：每完全满足一个 评审标准得0.5分，满分1.5分； ③ 安全应急预案：每完全满足一个评 审标准得0.5分，满分1.5分； ④安 全生产教育：每完全满足 一个评审 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安全文明措施.pdf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环境保障措施.pdf</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针对本项目拟投入的主要施工机械设备配备进行评审，评审标准：1、完整性：设备配备全面，对评审内容中的各项要求有详细描述； 2、可实施性：切合本项目实际情况，提出步骤清晰 、合理的方案； 3、针对性：方案能够紧扣项目实际情况，内容科学合理。三、赋分标准（满分6分）每完全满足一个评审标准得2分，满分6分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 报价为有效报价。 2、有效最低报 价为基准价得 30 分。 3、按（磋 商基准价/有效最终磋商报价）×30 的公式计算报价得分。 4、报价不 完整的，不进入磋商基准价的计算 ，本项得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详见附件：施工承诺.pdf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详见附件：安全文明措施.pdf</w:t>
      </w:r>
    </w:p>
    <w:p>
      <w:pPr>
        <w:pStyle w:val="null3"/>
        <w:ind w:firstLine="960"/>
      </w:pPr>
      <w:r>
        <w:rPr>
          <w:rFonts w:ascii="仿宋_GB2312" w:hAnsi="仿宋_GB2312" w:cs="仿宋_GB2312" w:eastAsia="仿宋_GB2312"/>
        </w:rPr>
        <w:t>详见附件：环境保障措施.pdf</w:t>
      </w:r>
    </w:p>
    <w:p>
      <w:pPr>
        <w:pStyle w:val="null3"/>
        <w:ind w:firstLine="960"/>
      </w:pPr>
      <w:r>
        <w:rPr>
          <w:rFonts w:ascii="仿宋_GB2312" w:hAnsi="仿宋_GB2312" w:cs="仿宋_GB2312" w:eastAsia="仿宋_GB2312"/>
        </w:rPr>
        <w:t>详见附件：进度计划.pdf</w:t>
      </w:r>
    </w:p>
    <w:p>
      <w:pPr>
        <w:pStyle w:val="null3"/>
        <w:ind w:firstLine="960"/>
      </w:pPr>
      <w:r>
        <w:rPr>
          <w:rFonts w:ascii="仿宋_GB2312" w:hAnsi="仿宋_GB2312" w:cs="仿宋_GB2312" w:eastAsia="仿宋_GB2312"/>
        </w:rPr>
        <w:t>详见附件：拟投入本工程的主要施工设备表.pdf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详见附件：质量保障措施.pdf</w:t>
      </w:r>
    </w:p>
    <w:p>
      <w:pPr>
        <w:pStyle w:val="null3"/>
        <w:ind w:firstLine="960"/>
      </w:pPr>
      <w:r>
        <w:rPr>
          <w:rFonts w:ascii="仿宋_GB2312" w:hAnsi="仿宋_GB2312" w:cs="仿宋_GB2312" w:eastAsia="仿宋_GB2312"/>
        </w:rPr>
        <w:t>详见附件：施工方案.pdf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