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版本号：YWGL-ZC-2026-000720260317001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县属国有企业改革专项咨询服务项目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YWGL-ZC-2026-0007</w:t>
      </w:r>
      <w:r>
        <w:br/>
      </w:r>
      <w:r>
        <w:br/>
      </w:r>
      <w:r>
        <w:br/>
      </w:r>
    </w:p>
    <w:p>
      <w:pPr>
        <w:pStyle w:val="null3"/>
        <w:jc w:val="center"/>
        <w:outlineLvl w:val="2"/>
      </w:pPr>
      <w:r>
        <w:rPr>
          <w:rFonts w:ascii="仿宋_GB2312" w:hAnsi="仿宋_GB2312" w:cs="仿宋_GB2312" w:eastAsia="仿宋_GB2312"/>
          <w:sz w:val="28"/>
          <w:b/>
        </w:rPr>
        <w:t>西乡县财政局</w:t>
      </w:r>
    </w:p>
    <w:p>
      <w:pPr>
        <w:pStyle w:val="null3"/>
        <w:jc w:val="center"/>
        <w:outlineLvl w:val="2"/>
      </w:pPr>
      <w:r>
        <w:rPr>
          <w:rFonts w:ascii="仿宋_GB2312" w:hAnsi="仿宋_GB2312" w:cs="仿宋_GB2312" w:eastAsia="仿宋_GB2312"/>
          <w:sz w:val="28"/>
          <w:b/>
        </w:rPr>
        <w:t>陕西猷为项目管理有限公司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陕西猷为项目管理有限公司</w:t>
      </w:r>
      <w:r>
        <w:rPr>
          <w:rFonts w:ascii="仿宋_GB2312" w:hAnsi="仿宋_GB2312" w:cs="仿宋_GB2312" w:eastAsia="仿宋_GB2312"/>
        </w:rPr>
        <w:t>（以下简称“代理机构”）受</w:t>
      </w:r>
      <w:r>
        <w:rPr>
          <w:rFonts w:ascii="仿宋_GB2312" w:hAnsi="仿宋_GB2312" w:cs="仿宋_GB2312" w:eastAsia="仿宋_GB2312"/>
        </w:rPr>
        <w:t>西乡县财政局</w:t>
      </w:r>
      <w:r>
        <w:rPr>
          <w:rFonts w:ascii="仿宋_GB2312" w:hAnsi="仿宋_GB2312" w:cs="仿宋_GB2312" w:eastAsia="仿宋_GB2312"/>
        </w:rPr>
        <w:t>委托，拟对</w:t>
      </w:r>
      <w:r>
        <w:rPr>
          <w:rFonts w:ascii="仿宋_GB2312" w:hAnsi="仿宋_GB2312" w:cs="仿宋_GB2312" w:eastAsia="仿宋_GB2312"/>
        </w:rPr>
        <w:t>县属国有企业改革专项咨询服务项目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YWGL-ZC-2026-0007</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县属国有企业改革专项咨询服务项目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采购第三方咨询服务机构，提供西乡县财政局县属国有企业改革专项咨询服务。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采购包1（县属国有企业改革专项咨询服务项目）：属于专门面向中小企业采购。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信用记录：供应商不得为“信用中国”网站（www.creditchina.gov.cn）中列入失信被执行人（中国执行信息公开网http：//zxgk.court.gov.cn）和重大税收违法失信主体名单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2、法定代表人授权书：法定代表人直接参加竞争性磋商的，须出具法定代表人身份证明书；法定代表人授权代表参加竞争性磋商的，须出具法定代表人授权委托书。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西乡县财政局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陕西省西乡县城北办文昌路中段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723599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曹老师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0916-6213881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陕西猷为项目管理有限公司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西安市碑林区南二环路79号广丰国际大厦2区8楼810</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邢郁苗、薛淼鑫、田许双</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029-87400234</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西乡县政府采购管理股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0916-6213881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采购包1：1,500,000.00元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代理服务费收费标准：参照国家计委2002年颁发的《招标代理服务收费管理暂行办法》(计价格〔2002〕1980号)。</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西乡县财政局</w:t>
      </w:r>
      <w:r>
        <w:rPr>
          <w:rFonts w:ascii="仿宋_GB2312" w:hAnsi="仿宋_GB2312" w:cs="仿宋_GB2312" w:eastAsia="仿宋_GB2312"/>
        </w:rPr>
        <w:t>和</w:t>
      </w:r>
      <w:r>
        <w:rPr>
          <w:rFonts w:ascii="仿宋_GB2312" w:hAnsi="仿宋_GB2312" w:cs="仿宋_GB2312" w:eastAsia="仿宋_GB2312"/>
        </w:rPr>
        <w:t>陕西猷为项目管理有限公司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西乡县财政局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陕西猷为项目管理有限公司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西乡县财政局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陕西猷为项目管理有限公司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陕西猷为项目管理有限公司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陕西猷为项目管理有限公司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陕西猷为项目管理有限公司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联系人：李有为</w:t>
      </w:r>
    </w:p>
    <w:p>
      <w:pPr>
        <w:pStyle w:val="null3"/>
      </w:pPr>
      <w:r>
        <w:rPr>
          <w:rFonts w:ascii="仿宋_GB2312" w:hAnsi="仿宋_GB2312" w:cs="仿宋_GB2312" w:eastAsia="仿宋_GB2312"/>
        </w:rPr>
        <w:t>联系电话：029-87400234</w:t>
      </w:r>
    </w:p>
    <w:p>
      <w:pPr>
        <w:pStyle w:val="null3"/>
      </w:pPr>
      <w:r>
        <w:rPr>
          <w:rFonts w:ascii="仿宋_GB2312" w:hAnsi="仿宋_GB2312" w:cs="仿宋_GB2312" w:eastAsia="仿宋_GB2312"/>
        </w:rPr>
        <w:t>地址：西安市碑林区南二环路79号广丰国际大厦2区8楼810</w:t>
      </w:r>
    </w:p>
    <w:p>
      <w:pPr>
        <w:pStyle w:val="null3"/>
      </w:pPr>
      <w:r>
        <w:rPr>
          <w:rFonts w:ascii="仿宋_GB2312" w:hAnsi="仿宋_GB2312" w:cs="仿宋_GB2312" w:eastAsia="仿宋_GB2312"/>
        </w:rPr>
        <w:t>邮编：710002</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采购第三方咨询服务机构提供西乡县财政局县属国有企业改革专项咨询服务。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1,500,000.00</w:t>
      </w:r>
    </w:p>
    <w:p>
      <w:pPr>
        <w:pStyle w:val="null3"/>
      </w:pPr>
      <w:r>
        <w:rPr>
          <w:rFonts w:ascii="仿宋_GB2312" w:hAnsi="仿宋_GB2312" w:cs="仿宋_GB2312" w:eastAsia="仿宋_GB2312"/>
        </w:rPr>
        <w:t>采购包最高限价（元）: 1,500,000.00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西乡县财政局县属国有企业改革专项咨询服务项目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1,500,000.00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租赁和商务服务业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标的名称：西乡县财政局县属国有企业改革专项咨询服务项目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 xml:space="preserve">一、采购内容  </w:t>
            </w:r>
          </w:p>
          <w:p>
            <w:pPr>
              <w:pStyle w:val="null3"/>
            </w:pPr>
            <w:r>
              <w:rPr>
                <w:rFonts w:ascii="仿宋_GB2312" w:hAnsi="仿宋_GB2312" w:cs="仿宋_GB2312" w:eastAsia="仿宋_GB2312"/>
              </w:rPr>
              <w:t xml:space="preserve">本次采购的第三方咨询服务机构，结合西乡县生态环境、资源禀赋、产业发展等情况，对国有企业发展思路、主责主业提出建议。需提供县属国有企业改革专项全流程咨询服务，覆盖改革定位规划、方案设计、治理优化、机制创新、制度建设、合规建设、落地辅导等全部环节，具体内容如下：  </w:t>
            </w:r>
          </w:p>
          <w:p>
            <w:pPr>
              <w:pStyle w:val="null3"/>
            </w:pPr>
            <w:r>
              <w:rPr>
                <w:rFonts w:ascii="仿宋_GB2312" w:hAnsi="仿宋_GB2312" w:cs="仿宋_GB2312" w:eastAsia="仿宋_GB2312"/>
              </w:rPr>
              <w:t xml:space="preserve">  1.改革定位规划咨询：梳理县属各国有企业基本情况、经营现状、发展瓶颈，结合县域经济发展规划、国有资产监管要求，明确各企业改革定位、发展方向和核心目标；制定全县县属国有企业改革整体规划，明确改革时序、重点任务和实施路径，确保改革与县域发展同频同步。  </w:t>
            </w:r>
          </w:p>
          <w:p>
            <w:pPr>
              <w:pStyle w:val="null3"/>
            </w:pPr>
            <w:r>
              <w:rPr>
                <w:rFonts w:ascii="仿宋_GB2312" w:hAnsi="仿宋_GB2312" w:cs="仿宋_GB2312" w:eastAsia="仿宋_GB2312"/>
              </w:rPr>
              <w:t xml:space="preserve">  2.改革方案设计咨询：结合各企业改革定位，针对性设计改革实施方案，包括但不限于产权制度改革、混合所有制改革、组织架构优化、业务板块整合等具体方案；方案需兼顾合规性与可操作性，明确实施步骤、责任分工、时间节点和保障措施，经采购方及相关企业审核通过后实施。  </w:t>
            </w:r>
          </w:p>
          <w:p>
            <w:pPr>
              <w:pStyle w:val="null3"/>
            </w:pPr>
            <w:r>
              <w:rPr>
                <w:rFonts w:ascii="仿宋_GB2312" w:hAnsi="仿宋_GB2312" w:cs="仿宋_GB2312" w:eastAsia="仿宋_GB2312"/>
              </w:rPr>
              <w:t xml:space="preserve">  3.治理优化咨询：指导县属国有企业完善法人治理结构，规范股东会、董事会、监事会、经理层运作机制，明确各治理主体权责边界；优化企业组织架构，精简冗余岗位，提升管理效率；建立健全治理评价体系，推动企业治理规范化、标准化。  </w:t>
            </w:r>
          </w:p>
          <w:p>
            <w:pPr>
              <w:pStyle w:val="null3"/>
            </w:pPr>
            <w:r>
              <w:rPr>
                <w:rFonts w:ascii="仿宋_GB2312" w:hAnsi="仿宋_GB2312" w:cs="仿宋_GB2312" w:eastAsia="仿宋_GB2312"/>
              </w:rPr>
              <w:t xml:space="preserve">  4.机制创新咨询：协助县属国有企业创新经营机制，包括薪酬激励机制、绩效考核机制、人才培养机制、市场化选人用人机制等；指导企业建立市场化经营模式，提升企业经营活力和市场竞争力，推动企业实现高质量发展。  </w:t>
            </w:r>
          </w:p>
          <w:p>
            <w:pPr>
              <w:pStyle w:val="null3"/>
            </w:pPr>
            <w:r>
              <w:rPr>
                <w:rFonts w:ascii="仿宋_GB2312" w:hAnsi="仿宋_GB2312" w:cs="仿宋_GB2312" w:eastAsia="仿宋_GB2312"/>
              </w:rPr>
              <w:t xml:space="preserve">  5.制度建设咨询：结合改革要求和企业实际，指导县属国有企业完善内部管理制度体系，包括财务管理制度、资产管理办法、风险防控制度、考勤管理制度等；确保制度符合国家法律法规、国有资产监管政策及企业经营需求，形成“用制度管人、用机制管事”的良好格局。  </w:t>
            </w:r>
          </w:p>
          <w:p>
            <w:pPr>
              <w:pStyle w:val="null3"/>
            </w:pPr>
            <w:r>
              <w:rPr>
                <w:rFonts w:ascii="仿宋_GB2312" w:hAnsi="仿宋_GB2312" w:cs="仿宋_GB2312" w:eastAsia="仿宋_GB2312"/>
              </w:rPr>
              <w:t xml:space="preserve">  6.合规建设咨询：解读国有资产监管相关法律法规、政策文件，指导县属国有企业加强合规管理，协助排查合规风险（包括财务合规、经营合规、产权合规等）；协助建立合规风险防控体系，制定合规管理流程，开展合规培训，提升企业全员合规意识。按照县国企改革方案及县委、县政府要求对新设立两家一级公司、保留的其他一级企业及下属二级公司总体架构提出建议。对保留的县国投集团整体架构，部门设置、人员配置、发展方向提出优化方案。  </w:t>
            </w:r>
          </w:p>
          <w:p>
            <w:pPr>
              <w:pStyle w:val="null3"/>
            </w:pPr>
            <w:r>
              <w:rPr>
                <w:rFonts w:ascii="仿宋_GB2312" w:hAnsi="仿宋_GB2312" w:cs="仿宋_GB2312" w:eastAsia="仿宋_GB2312"/>
              </w:rPr>
              <w:t xml:space="preserve">  7.落地辅导咨询：全程跟踪改革方案实施过程，提供现场辅导、技术支持，及时解决改革落地过程中的各类问题；协助采购方开展改革进度督查、成效评估，指导企业完成改革各项任务；总结改革经验，优化改革举措，确保改革成果落地见效。  </w:t>
            </w:r>
          </w:p>
          <w:p>
            <w:pPr>
              <w:pStyle w:val="null3"/>
            </w:pPr>
            <w:r>
              <w:rPr>
                <w:rFonts w:ascii="仿宋_GB2312" w:hAnsi="仿宋_GB2312" w:cs="仿宋_GB2312" w:eastAsia="仿宋_GB2312"/>
              </w:rPr>
              <w:t xml:space="preserve">  8.涉及资产的服务：  </w:t>
            </w:r>
          </w:p>
          <w:p>
            <w:pPr>
              <w:pStyle w:val="null3"/>
            </w:pPr>
            <w:r>
              <w:rPr>
                <w:rFonts w:ascii="仿宋_GB2312" w:hAnsi="仿宋_GB2312" w:cs="仿宋_GB2312" w:eastAsia="仿宋_GB2312"/>
              </w:rPr>
              <w:t xml:space="preserve">  8.1经营权：包含但不限于（1）县城城区、园区范围内的新能源充电桩、光伏发电等项目经营权；（2）污水处理（含污水处理厂及管网）项目经营权；（3）停车场经营权、停车位收费权、广告设施经营权；（4）环卫一体化项目运营权（含垃圾中转和预处理）；（5）景观苗木栽培及绿化养护项目运营权；（6）江河水面、山塘水库经营权。对各类经营权性质进行分析，厘清法定准入限制，分类别提出不同经营权的注入方式，或筹划打包项目以便国企获得项目运营权。  </w:t>
            </w:r>
          </w:p>
          <w:p>
            <w:pPr>
              <w:pStyle w:val="null3"/>
            </w:pPr>
            <w:r>
              <w:rPr>
                <w:rFonts w:ascii="仿宋_GB2312" w:hAnsi="仿宋_GB2312" w:cs="仿宋_GB2312" w:eastAsia="仿宋_GB2312"/>
              </w:rPr>
              <w:t xml:space="preserve">  8.2地理标志商标：分析其地理标志商标的评估价值，无法注入国有企业，探索中长期增加国有企业的账面价值的路径。</w:t>
            </w:r>
          </w:p>
          <w:p>
            <w:pPr>
              <w:pStyle w:val="null3"/>
            </w:pPr>
            <w:r>
              <w:rPr>
                <w:rFonts w:ascii="仿宋_GB2312" w:hAnsi="仿宋_GB2312" w:cs="仿宋_GB2312" w:eastAsia="仿宋_GB2312"/>
              </w:rPr>
              <w:t xml:space="preserve">二、服务要求  </w:t>
            </w:r>
          </w:p>
          <w:p>
            <w:pPr>
              <w:pStyle w:val="null3"/>
            </w:pPr>
            <w:r>
              <w:rPr>
                <w:rFonts w:ascii="仿宋_GB2312" w:hAnsi="仿宋_GB2312" w:cs="仿宋_GB2312" w:eastAsia="仿宋_GB2312"/>
              </w:rPr>
              <w:t xml:space="preserve">  1.合规性：所有咨询服务成果需符合国家法律法规、国有资产监管政策、县级相关工作要求及县属国有企业规章制度，确保改革方案、制度体系、操作流程等合法、合规、可落地，贴合县域国有资产监管实际。  </w:t>
            </w:r>
          </w:p>
          <w:p>
            <w:pPr>
              <w:pStyle w:val="null3"/>
            </w:pPr>
            <w:r>
              <w:rPr>
                <w:rFonts w:ascii="仿宋_GB2312" w:hAnsi="仿宋_GB2312" w:cs="仿宋_GB2312" w:eastAsia="仿宋_GB2312"/>
              </w:rPr>
              <w:t xml:space="preserve">  2.专业性：咨询方案需结合县属国有企业实际情况，针对性解决企业改革过程中的痛点难点，具备科学性、前瞻性和可操作性；咨询团队需提供全程专业指导，及时解答采购方及县属国有企业提出的各类问题，提供专业、精准的建议和解决方案；服务过程中严格遵循行业规范，确保服务质量。</w:t>
            </w:r>
          </w:p>
          <w:p>
            <w:pPr>
              <w:pStyle w:val="null3"/>
            </w:pPr>
            <w:r>
              <w:rPr>
                <w:rFonts w:ascii="仿宋_GB2312" w:hAnsi="仿宋_GB2312" w:cs="仿宋_GB2312" w:eastAsia="仿宋_GB2312"/>
              </w:rPr>
              <w:t xml:space="preserve">  3.时效性：按照合同约定的服务周期、时间节点推进各项服务工作，按时提交服务成果（如改革规划、实施方案、制度文本、验收报告等）；对于采购方及县属国有企业的紧急需求，需在约定时间内响应并提供解决方案，不得拖延服务进度。</w:t>
            </w:r>
          </w:p>
          <w:p>
            <w:pPr>
              <w:pStyle w:val="null3"/>
            </w:pPr>
            <w:r>
              <w:rPr>
                <w:rFonts w:ascii="仿宋_GB2312" w:hAnsi="仿宋_GB2312" w:cs="仿宋_GB2312" w:eastAsia="仿宋_GB2312"/>
              </w:rPr>
              <w:t xml:space="preserve">  4.保密性：中标（成交）机构需对采购方及县属国有企业提供的所有资料（含财务数据、业务信息、改革方案、制度文本等）严格保密，不得向任何第三方泄露；服务完成后，需返还所有涉密资料（或按采购方要求处理），签订保密协议，保密义务期限不少于服务合同终止后3年，若发生泄密行为，按照合同约定追究违约责任。  </w:t>
            </w:r>
          </w:p>
          <w:p>
            <w:pPr>
              <w:pStyle w:val="null3"/>
            </w:pPr>
            <w:r>
              <w:rPr>
                <w:rFonts w:ascii="仿宋_GB2312" w:hAnsi="仿宋_GB2312" w:cs="仿宋_GB2312" w:eastAsia="仿宋_GB2312"/>
              </w:rPr>
              <w:t xml:space="preserve">  5.配合性：积极配合采购方开展各项工作，配合采购方完成县级政府采购监管部门、国资监管部门的检查、验收、备案、汇报等相关工作；根据采购方、县属国有企业及相关部门的意见，及时调整优化服务方案、完善服务成果，确保服务贴合实际需求。  </w:t>
            </w:r>
          </w:p>
          <w:p>
            <w:pPr>
              <w:pStyle w:val="null3"/>
            </w:pPr>
            <w:r>
              <w:rPr>
                <w:rFonts w:ascii="仿宋_GB2312" w:hAnsi="仿宋_GB2312" w:cs="仿宋_GB2312" w:eastAsia="仿宋_GB2312"/>
              </w:rPr>
              <w:t xml:space="preserve">  6.培训服务：根据采购方需求，为采购方工作人员及县属国有企业相关人员提供改革相关培训、政策解读、业务指导等服务，提升相关人员专业能力，助力改革成果落地。</w:t>
            </w:r>
          </w:p>
          <w:p>
            <w:pPr>
              <w:pStyle w:val="null3"/>
            </w:pPr>
            <w:r>
              <w:rPr>
                <w:rFonts w:ascii="仿宋_GB2312" w:hAnsi="仿宋_GB2312" w:cs="仿宋_GB2312" w:eastAsia="仿宋_GB2312"/>
              </w:rPr>
              <w:t xml:space="preserve"> 三、质量标准  </w:t>
            </w:r>
          </w:p>
          <w:p>
            <w:pPr>
              <w:pStyle w:val="null3"/>
            </w:pPr>
            <w:r>
              <w:rPr>
                <w:rFonts w:ascii="仿宋_GB2312" w:hAnsi="仿宋_GB2312" w:cs="仿宋_GB2312" w:eastAsia="仿宋_GB2312"/>
              </w:rPr>
              <w:t xml:space="preserve">  1.改革定位规划与方案：定位清晰、方向明确，符合县域经济发展规划及国有资产监管要求；方案内容完整、逻辑严谨、措施具体，明确实施步骤、责任分工、时间节点和保障措施，可直接落地执行，能够有效解决县属国有企业改革中的实际问题。  </w:t>
            </w:r>
          </w:p>
          <w:p>
            <w:pPr>
              <w:pStyle w:val="null3"/>
            </w:pPr>
            <w:r>
              <w:rPr>
                <w:rFonts w:ascii="仿宋_GB2312" w:hAnsi="仿宋_GB2312" w:cs="仿宋_GB2312" w:eastAsia="仿宋_GB2312"/>
              </w:rPr>
              <w:t xml:space="preserve">  2.治理优化与机制创新：能够有效优化县属国有企业法人治理结构，明确各治理主体权责边界，提升企业管理效率；创新的经营机制、激励机制等能够贴合企业实际，激发企业经营活力，提升企业市场竞争力。  </w:t>
            </w:r>
          </w:p>
          <w:p>
            <w:pPr>
              <w:pStyle w:val="null3"/>
            </w:pPr>
            <w:r>
              <w:rPr>
                <w:rFonts w:ascii="仿宋_GB2312" w:hAnsi="仿宋_GB2312" w:cs="仿宋_GB2312" w:eastAsia="仿宋_GB2312"/>
              </w:rPr>
              <w:t xml:space="preserve">  3.制度建设：协助县财政局制定国有企业监管制度；修改完善国企内部的公司章程，“三重一大”决策制度和其他决策制度；提供绩效考核建议；审核各类投资、融资、内控管理制度；审核代建合同等。  </w:t>
            </w:r>
          </w:p>
          <w:p>
            <w:pPr>
              <w:pStyle w:val="null3"/>
            </w:pPr>
            <w:r>
              <w:rPr>
                <w:rFonts w:ascii="仿宋_GB2312" w:hAnsi="仿宋_GB2312" w:cs="仿宋_GB2312" w:eastAsia="仿宋_GB2312"/>
              </w:rPr>
              <w:t xml:space="preserve">  4.合规建设：合规风险排查全面、精准，合规风险防控体系完善，合规管理流程规范；能够有效提升企业全员合规意识，确保企业经营活动合法合规，避免合规风险。  </w:t>
            </w:r>
          </w:p>
          <w:p>
            <w:pPr>
              <w:pStyle w:val="null3"/>
            </w:pPr>
            <w:r>
              <w:rPr>
                <w:rFonts w:ascii="仿宋_GB2312" w:hAnsi="仿宋_GB2312" w:cs="仿宋_GB2312" w:eastAsia="仿宋_GB2312"/>
              </w:rPr>
              <w:t xml:space="preserve">  5.落地辅导：辅导工作到位，能够及时解决改革落地过程中的各类问题，推动改革方案顺利实施；改革成果显著，县属国有企业改革任务按时完成，达到改革目标；验收时需提供完整的服务成果资料，包括但不限于改革规划报告、实施方案、制度文本、辅导记录、成效评估报告等。  </w:t>
            </w:r>
          </w:p>
          <w:p>
            <w:pPr>
              <w:pStyle w:val="null3"/>
            </w:pPr>
            <w:r>
              <w:rPr>
                <w:rFonts w:ascii="仿宋_GB2312" w:hAnsi="仿宋_GB2312" w:cs="仿宋_GB2312" w:eastAsia="仿宋_GB2312"/>
              </w:rPr>
              <w:t xml:space="preserve">  6.验收标准：以服务合同、采购文件及双方约定的服务要求为依据，确保服务成果全部完成、质量达标，能够满足采购方及县属国有企业的实际需求；验收合格后，中标（成交）机构需配合采购方完成相关资料归档工作。</w:t>
            </w:r>
          </w:p>
          <w:p>
            <w:pPr>
              <w:pStyle w:val="null3"/>
            </w:pPr>
            <w:r>
              <w:rPr>
                <w:rFonts w:ascii="仿宋_GB2312" w:hAnsi="仿宋_GB2312" w:cs="仿宋_GB2312" w:eastAsia="仿宋_GB2312"/>
              </w:rPr>
              <w:t xml:space="preserve">四、服务对象  </w:t>
            </w:r>
          </w:p>
          <w:p>
            <w:pPr>
              <w:pStyle w:val="null3"/>
            </w:pPr>
            <w:r>
              <w:rPr>
                <w:rFonts w:ascii="仿宋_GB2312" w:hAnsi="仿宋_GB2312" w:cs="仿宋_GB2312" w:eastAsia="仿宋_GB2312"/>
              </w:rPr>
              <w:t xml:space="preserve">  本次咨询服务的对象为采购方及全县所有县属国有企业（具体以采购方确定的企业名单为准）。</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供应商自行配备项目所需要的人员。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符合采购需求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咨询合同签订后10个工作日内，付款前成交供应商向采购人开具合法有效的等额发票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每三个月为一期，每期付款前成交供应商向采购人开具合法有效的等额发票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每三个月为一期，每期付款前成交供应商向采购人开具合法有效的等额发票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每三个月为一期，每期付款前成交供应商向采购人开具合法有效的等额发票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每三个月为一期，每期付款前成交供应商向采购人开具合法有效的等额发票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2未按合同要求提供服务或服务质量不能满足合同要求，采购人有权依据《中华人民共和国民法典》有关条款及合同约定终止合同，并要求成交供应商承担违约责任。3.双方如因为其他原因要解除合约，应提前一个月通知对方。4.合同履行期内，因成交供应商原因（包括但不局限于劳动纠纷、安全事故等）导致合同无法履行，属违约行为。由成交供应商负责对发生的事件进行处理，并承担相应的法律责任和经济补偿。若给采购人声誉造成影响的，成交供应商负责消除影响。采购人有权解除合同。5.合同各方应通过友好协商，解决在执行合同过程中所发生的或与合同有关的一切争端。如协商30日内(根据实际情况设定)不能解决，可以按合同规定的方式提起仲裁或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1.具有独立承担民事责任能力的法人、其他组织或自然人，并出具合法有效的营业执照或事业单位法人证书等国家规定的相关证明，自然人参与的提供其身份证明； 2.提供《汉中市政府采购供应商资格承诺函》； 供应商需在项目电子化交易系统中按要求填写完成承诺并进行电子签章。</w:t>
            </w:r>
          </w:p>
        </w:tc>
        <w:tc>
          <w:tcPr>
            <w:tcW w:type="dxa" w:w="1661"/>
          </w:tcPr>
          <w:p>
            <w:pPr>
              <w:pStyle w:val="null3"/>
            </w:pPr>
            <w:r>
              <w:rPr>
                <w:rFonts w:ascii="仿宋_GB2312" w:hAnsi="仿宋_GB2312" w:cs="仿宋_GB2312" w:eastAsia="仿宋_GB2312"/>
              </w:rPr>
              <w:t>供应商资格证明文件.docx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供应商需在项目电子化交易系统中按要求上传相应文件并进行电子签章。</w:t>
            </w:r>
          </w:p>
        </w:tc>
        <w:tc>
          <w:tcPr>
            <w:tcW w:type="dxa" w:w="1661"/>
          </w:tcPr>
          <w:p>
            <w:pPr>
              <w:pStyle w:val="null3"/>
            </w:pPr>
            <w:r>
              <w:rPr>
                <w:rFonts w:ascii="仿宋_GB2312" w:hAnsi="仿宋_GB2312" w:cs="仿宋_GB2312" w:eastAsia="仿宋_GB2312"/>
              </w:rPr>
              <w:t>供应商资格证明文件.docx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失信被执行人（中国执行信息公开网http：//zxgk.court.gov.cn）和重大税收违法失信主体名单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直接参加竞争性磋商的，须出具法定代表人身份证明书；法定代表人授权代表参加竞争性磋商的，须出具法定代表人授权委托书。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响应文件的签字盖章</w:t>
            </w:r>
          </w:p>
        </w:tc>
        <w:tc>
          <w:tcPr>
            <w:tcW w:type="dxa" w:w="3322"/>
          </w:tcPr>
          <w:p>
            <w:pPr>
              <w:pStyle w:val="null3"/>
            </w:pPr>
            <w:r>
              <w:rPr>
                <w:rFonts w:ascii="仿宋_GB2312" w:hAnsi="仿宋_GB2312" w:cs="仿宋_GB2312" w:eastAsia="仿宋_GB2312"/>
              </w:rPr>
              <w:t>响应文件按照磋商文件规定要求签署、盖章。</w:t>
            </w:r>
          </w:p>
        </w:tc>
        <w:tc>
          <w:tcPr>
            <w:tcW w:type="dxa" w:w="1661"/>
          </w:tcPr>
          <w:p>
            <w:pPr>
              <w:pStyle w:val="null3"/>
            </w:pPr>
            <w:r>
              <w:rPr>
                <w:rFonts w:ascii="仿宋_GB2312" w:hAnsi="仿宋_GB2312" w:cs="仿宋_GB2312" w:eastAsia="仿宋_GB2312"/>
              </w:rPr>
              <w:t>陕西省政府采购投标人拒绝政府采购领域商业贿赂承诺书.docx 中小企业声明函 残疾人福利性单位声明函 标的清单 报价表 供应商资格证明文件.docx 采购需求偏离表.docx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响应文件内容</w:t>
            </w:r>
          </w:p>
        </w:tc>
        <w:tc>
          <w:tcPr>
            <w:tcW w:type="dxa" w:w="3322"/>
          </w:tcPr>
          <w:p>
            <w:pPr>
              <w:pStyle w:val="null3"/>
            </w:pPr>
            <w:r>
              <w:rPr>
                <w:rFonts w:ascii="仿宋_GB2312" w:hAnsi="仿宋_GB2312" w:cs="仿宋_GB2312" w:eastAsia="仿宋_GB2312"/>
              </w:rPr>
              <w:t>1.响应文件中项目名称、项目编号与本项目一致 。 2.响应文件内容须包括但不限于：响应函、 报价表、资格证明文件、 采购需求偏离表、方 案说明等。</w:t>
            </w:r>
          </w:p>
        </w:tc>
        <w:tc>
          <w:tcPr>
            <w:tcW w:type="dxa" w:w="1661"/>
          </w:tcPr>
          <w:p>
            <w:pPr>
              <w:pStyle w:val="null3"/>
            </w:pPr>
            <w:r>
              <w:rPr>
                <w:rFonts w:ascii="仿宋_GB2312" w:hAnsi="仿宋_GB2312" w:cs="仿宋_GB2312" w:eastAsia="仿宋_GB2312"/>
              </w:rPr>
              <w:t>其他应说明的事项.docx 陕西省政府采购投标人拒绝政府采购领域商业贿赂承诺书.docx 中小企业声明函 残疾人福利性单位声明函 标的清单 报价表 供应商资格证明文件.docx 采购需求偏离表.docx 服务方案说明.docx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应符合采购文件的要求。不得提交有选择性的 报价，且不得超过采购文件规定的最高限价。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应符合采购文件的要求。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采购需求条款响应</w:t>
            </w:r>
          </w:p>
        </w:tc>
        <w:tc>
          <w:tcPr>
            <w:tcW w:type="dxa" w:w="3322"/>
          </w:tcPr>
          <w:p>
            <w:pPr>
              <w:pStyle w:val="null3"/>
            </w:pPr>
            <w:r>
              <w:rPr>
                <w:rFonts w:ascii="仿宋_GB2312" w:hAnsi="仿宋_GB2312" w:cs="仿宋_GB2312" w:eastAsia="仿宋_GB2312"/>
              </w:rPr>
              <w:t>响应采购文件的采购内容、服务要求及质量标准，无负偏离。</w:t>
            </w:r>
          </w:p>
        </w:tc>
        <w:tc>
          <w:tcPr>
            <w:tcW w:type="dxa" w:w="1661"/>
          </w:tcPr>
          <w:p>
            <w:pPr>
              <w:pStyle w:val="null3"/>
            </w:pPr>
            <w:r>
              <w:rPr>
                <w:rFonts w:ascii="仿宋_GB2312" w:hAnsi="仿宋_GB2312" w:cs="仿宋_GB2312" w:eastAsia="仿宋_GB2312"/>
              </w:rPr>
              <w:t>响应文件封面</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一、评审内容：①现状分析；②实施依据；③服务思路和方法。 二、评审标准:方案各部分内容全面详细、阐述条理清晰详尽、符合本项目采购需求得18分；评审内容每缺一项扣6分；任意一项评审内容有1处缺陷扣1分，扣完为止。 注：缺陷是指内容表述不完整或缺少关键点；同一问题表述前后矛盾、无连贯性或内容存在逻辑漏洞；常识性错误；非专门针对本项目或不适用本项目特性或套用其他项目内容；方案中提出的措施举措不利于本项目目标的实现；现有技术条件下不可能实现采购目标等任意一种情形。</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服务方案说明.docx</w:t>
            </w:r>
          </w:p>
        </w:tc>
      </w:tr>
      <w:tr>
        <w:tc>
          <w:tcPr>
            <w:tcW w:type="dxa" w:w="831"/>
            <w:vMerge/>
          </w:tcPr>
          <w:p/>
        </w:tc>
        <w:tc>
          <w:tcPr>
            <w:tcW w:type="dxa" w:w="1661"/>
          </w:tcPr>
          <w:p>
            <w:pPr>
              <w:pStyle w:val="null3"/>
            </w:pPr>
            <w:r>
              <w:rPr>
                <w:rFonts w:ascii="仿宋_GB2312" w:hAnsi="仿宋_GB2312" w:cs="仿宋_GB2312" w:eastAsia="仿宋_GB2312"/>
              </w:rPr>
              <w:t>项目重点难点分析及解决方案</w:t>
            </w:r>
          </w:p>
        </w:tc>
        <w:tc>
          <w:tcPr>
            <w:tcW w:type="dxa" w:w="2492"/>
          </w:tcPr>
          <w:p>
            <w:pPr>
              <w:pStyle w:val="null3"/>
            </w:pPr>
            <w:r>
              <w:rPr>
                <w:rFonts w:ascii="仿宋_GB2312" w:hAnsi="仿宋_GB2312" w:cs="仿宋_GB2312" w:eastAsia="仿宋_GB2312"/>
              </w:rPr>
              <w:t>一、评审内容：①本项目实施面临的重点、难点进行分析；②对本项目重点、难点的解决方案。 二、评审标准:各部分内容全面详细、阐述条理清晰详尽、符合本项目采购需求得6分；评审内容每缺一项扣3分；任意一项评审内容有1处缺陷扣0.5分，扣完为止。 注：缺陷是指内容表述不完整或缺少关键点；同一问题表述前后矛盾、无连贯性或内容存在逻辑漏洞；常识性错误；非专门针对本项目或不适用本项目特性或套用其他项目内容；方案中提出的措施举措不利于本项目目标的实现；现有技术条件下不可能实现采购目标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服务方案说明.docx</w:t>
            </w:r>
          </w:p>
        </w:tc>
      </w:tr>
      <w:tr>
        <w:tc>
          <w:tcPr>
            <w:tcW w:type="dxa" w:w="831"/>
            <w:vMerge/>
          </w:tcPr>
          <w:p/>
        </w:tc>
        <w:tc>
          <w:tcPr>
            <w:tcW w:type="dxa" w:w="1661"/>
          </w:tcPr>
          <w:p>
            <w:pPr>
              <w:pStyle w:val="null3"/>
            </w:pPr>
            <w:r>
              <w:rPr>
                <w:rFonts w:ascii="仿宋_GB2312" w:hAnsi="仿宋_GB2312" w:cs="仿宋_GB2312" w:eastAsia="仿宋_GB2312"/>
              </w:rPr>
              <w:t>工作进度和质量保证措施</w:t>
            </w:r>
          </w:p>
        </w:tc>
        <w:tc>
          <w:tcPr>
            <w:tcW w:type="dxa" w:w="2492"/>
          </w:tcPr>
          <w:p>
            <w:pPr>
              <w:pStyle w:val="null3"/>
            </w:pPr>
            <w:r>
              <w:rPr>
                <w:rFonts w:ascii="仿宋_GB2312" w:hAnsi="仿宋_GB2312" w:cs="仿宋_GB2312" w:eastAsia="仿宋_GB2312"/>
              </w:rPr>
              <w:t>一、评审内容：①工作进度安排；②工作进度保障措施；③工作各阶段质量控制措施。 二、评审标准:各部分内容全面详细、阐述条理清晰详尽、符合本项目采购需求得9分;评审内容每缺一项扣3分；任意一项评审内容有1处缺陷扣0.5分，扣完为止。 注：缺陷是指内容表述不完整或缺少关键点；同一问题表述前后矛盾、无连贯性或内容存在逻辑漏洞；常识性错误；非专门针对本项目或不适用本项目特性或套用其他项目内容；方案中提出的措施举措不利于本项目目标的实现；现有技术条件下不可能实现采购目标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服务方案说明.docx</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一、评审内容：①项目组织机构设置；②拟投入人员配置、数量、经验及专业能力；③团队人员的分工及岗位职责。 二、评审标准： 机构设置合理、团队人员职责划分明确、团队配置满足项目情况及需要，人员专业能力能有效保障项目服务质量，内容描述详细，架构清晰的得9分。评审内容每缺一项扣3 分；任意一项评审内容有1处缺陷扣 0.5 分，扣完为止。注：缺陷是指内容表述不完整或缺少关键点；同一问题表述前后矛盾、无连贯性或内容存在逻辑漏洞；常识性错误；非专门针对本项目或不适用本项目特性或套用其他项目内容；方案中提出的措施举措不利于本项目目标的实现；现有技术条件下不可能实现采购目标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服务方案说明.docx</w:t>
            </w:r>
          </w:p>
        </w:tc>
      </w:tr>
      <w:tr>
        <w:tc>
          <w:tcPr>
            <w:tcW w:type="dxa" w:w="831"/>
            <w:vMerge/>
          </w:tcPr>
          <w:p/>
        </w:tc>
        <w:tc>
          <w:tcPr>
            <w:tcW w:type="dxa" w:w="1661"/>
          </w:tcPr>
          <w:p>
            <w:pPr>
              <w:pStyle w:val="null3"/>
            </w:pPr>
            <w:r>
              <w:rPr>
                <w:rFonts w:ascii="仿宋_GB2312" w:hAnsi="仿宋_GB2312" w:cs="仿宋_GB2312" w:eastAsia="仿宋_GB2312"/>
              </w:rPr>
              <w:t>人员实力</w:t>
            </w:r>
          </w:p>
        </w:tc>
        <w:tc>
          <w:tcPr>
            <w:tcW w:type="dxa" w:w="2492"/>
          </w:tcPr>
          <w:p>
            <w:pPr>
              <w:pStyle w:val="null3"/>
            </w:pPr>
            <w:r>
              <w:rPr>
                <w:rFonts w:ascii="仿宋_GB2312" w:hAnsi="仿宋_GB2312" w:cs="仿宋_GB2312" w:eastAsia="仿宋_GB2312"/>
              </w:rPr>
              <w:t>1.拟派本项目的项目负责人: (1)具有咨询工程师(投资)或法律或注册会计师或一级注册造价工程师等职业资格证书得3分。(2)职称:具有会计或经济系列高级及以上职称的得3分；具有会计或经济系列中级职称的得2分；具有会计或经济系列初级职称的得1分。 2.拟派其他人员(除项目负责人外)： (1)具有咨询工程师(投资)或法律或注册会计师或一级造价工程师等职业资格证书，每提供一名得3分；具有会计或经济系列高级及以上职称，每提供一名得3分；具有会计或经济系列中级职称，每提供一名得2分；具有会计或经济系列初级职称，每提供一名得1分。最高得6分。 注:拟派人员须为供应商本单位在职人员，须提供在职证明(证明形式不限)及相关证书，不满足不得分。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服务方案说明.docx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一、评审内容：①服务质量的承诺；②人员到位情况及服务响应时间的承诺。 二、评审标准:服务承诺合理、阐述条理清晰详尽、符合本项目采购需求得8分;评审内容每缺一项扣4分；任意一项评审内容有1处缺陷扣0.5 分，扣完为止。 注：缺陷是指内容表述不完整或缺少关键点；同一问题表述前后矛盾、无连贯性或内容存在逻辑漏洞；常识性错误；非专门针对本项目或不适用本项目特性或套用其他项目内容；方案中提出的措施举措不利于本项目目标的实现；现有技术条件下不可能实现采购目标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服务方案说明.docx</w:t>
            </w:r>
          </w:p>
        </w:tc>
      </w:tr>
      <w:tr>
        <w:tc>
          <w:tcPr>
            <w:tcW w:type="dxa" w:w="831"/>
            <w:vMerge/>
          </w:tcPr>
          <w:p/>
        </w:tc>
        <w:tc>
          <w:tcPr>
            <w:tcW w:type="dxa" w:w="1661"/>
          </w:tcPr>
          <w:p>
            <w:pPr>
              <w:pStyle w:val="null3"/>
            </w:pPr>
            <w:r>
              <w:rPr>
                <w:rFonts w:ascii="仿宋_GB2312" w:hAnsi="仿宋_GB2312" w:cs="仿宋_GB2312" w:eastAsia="仿宋_GB2312"/>
              </w:rPr>
              <w:t>内控制度</w:t>
            </w:r>
          </w:p>
        </w:tc>
        <w:tc>
          <w:tcPr>
            <w:tcW w:type="dxa" w:w="2492"/>
          </w:tcPr>
          <w:p>
            <w:pPr>
              <w:pStyle w:val="null3"/>
            </w:pPr>
            <w:r>
              <w:rPr>
                <w:rFonts w:ascii="仿宋_GB2312" w:hAnsi="仿宋_GB2312" w:cs="仿宋_GB2312" w:eastAsia="仿宋_GB2312"/>
              </w:rPr>
              <w:t>一、评审内容： ①档案管理方案（制度管理、台账建立、档案保存等）； ②日常管理制度；③职业道德保障措施、保密管理方案；④风险控制管理。 二、评审标准：评审内容内容描述详细，全面、清晰的得12分。评审内容每缺一项扣3分；任意一项评审内容有1处缺陷扣0.5分，扣完为止。注：缺陷是指内容表述不完整或缺少关键点；同一问题表述前后矛盾、无连贯性或内容存在逻辑漏洞；常识性错误；非专门针对本项目或不适用本项目特性或套用其他项目内容；方案中提出的措施举措不利于本项目目标的实现；现有技术条件下不可能实现采购目标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服务方案说明.docx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提供有利于本项目工作顺利进行的合理化建议，详细合理、后续服务承诺全面可行得7分。内容有1处缺陷扣1分，扣完为止。 注：缺陷是指内容表述不完整或缺少关键点；同一问题表述前后矛盾、无连贯性或内容存在逻辑漏洞；常识性错误；非专门针对本项目或不适用本项目特性或套用其他项目内容；方案中提出的措施举措不利于本项目目标的实现；现有技术条件下不可能实现采购目标等任意一种情形。</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供应商提供2022年1月1日至响应文件递交截止日类似项目业绩（业绩以合同为依据），每提供一个有效的合同得3分，满分9分。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服务方案说明.docx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满足磋商文件要求且响应价格最低的磋商报价为磋商基准价，其价格分为满分。其他供应商的价格分统一按照下列公式计算：磋商报价得分=(磋商基准价／最后磋商报价)×10。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详见附件：采购需求偏离表.docx</w:t>
      </w:r>
    </w:p>
    <w:p>
      <w:pPr>
        <w:pStyle w:val="null3"/>
        <w:ind w:firstLine="960"/>
      </w:pPr>
      <w:r>
        <w:rPr>
          <w:rFonts w:ascii="仿宋_GB2312" w:hAnsi="仿宋_GB2312" w:cs="仿宋_GB2312" w:eastAsia="仿宋_GB2312"/>
        </w:rPr>
        <w:t>详见附件：服务方案说明.docx</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详见附件：其他应说明的事项.docx</w:t>
      </w:r>
    </w:p>
    <w:p>
      <w:pPr>
        <w:pStyle w:val="null3"/>
        <w:ind w:firstLine="960"/>
      </w:pPr>
      <w:r>
        <w:rPr>
          <w:rFonts w:ascii="仿宋_GB2312" w:hAnsi="仿宋_GB2312" w:cs="仿宋_GB2312" w:eastAsia="仿宋_GB2312"/>
        </w:rPr>
        <w:t>详见附件：陕西省政府采购投标人拒绝政府采购领域商业贿赂承诺书.docx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