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版本号：ZYGJ-HZZC-260520260322001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西乡县骆家坝镇全域旅游景区景点治理维护及提质改造项目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ZYGJ-HZZC-2605</w:t>
      </w:r>
      <w:r>
        <w:br/>
      </w:r>
      <w:r>
        <w:br/>
      </w:r>
      <w:r>
        <w:br/>
      </w:r>
    </w:p>
    <w:p>
      <w:pPr>
        <w:pStyle w:val="null3"/>
        <w:jc w:val="center"/>
        <w:outlineLvl w:val="2"/>
      </w:pPr>
      <w:r>
        <w:rPr>
          <w:rFonts w:ascii="仿宋_GB2312" w:hAnsi="仿宋_GB2312" w:cs="仿宋_GB2312" w:eastAsia="仿宋_GB2312"/>
          <w:sz w:val="28"/>
          <w:b/>
        </w:rPr>
        <w:t>西乡县骆家坝镇人民政府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西乡县骆家坝镇人民政府</w:t>
      </w:r>
      <w:r>
        <w:rPr>
          <w:rFonts w:ascii="仿宋_GB2312" w:hAnsi="仿宋_GB2312" w:cs="仿宋_GB2312" w:eastAsia="仿宋_GB2312"/>
        </w:rPr>
        <w:t>委托，拟对</w:t>
      </w:r>
      <w:r>
        <w:rPr>
          <w:rFonts w:ascii="仿宋_GB2312" w:hAnsi="仿宋_GB2312" w:cs="仿宋_GB2312" w:eastAsia="仿宋_GB2312"/>
        </w:rPr>
        <w:t>西乡县骆家坝镇全域旅游景区景点治理维护及提质改造项目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西乡县骆家坝镇全域旅游景区景点治理维护及提质改造项目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该项目对景区维修及活动布置、古镇景区维护、农村人居环境提升、红军广场摆花、全域景区维修、花廊建设、围挡整治、创文设施安装、沿线环境整治等相关配套设施建设。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1、法人或授权委托人：法定代表人直接参加磋商的，须出具法人身份证;法定代表人授权代表参加磋商的，须出具法定代表人授权书及授权代表身份证;</w:t>
      </w:r>
    </w:p>
    <w:p>
      <w:pPr>
        <w:pStyle w:val="null3"/>
      </w:pPr>
      <w:r>
        <w:rPr>
          <w:rFonts w:ascii="仿宋_GB2312" w:hAnsi="仿宋_GB2312" w:cs="仿宋_GB2312" w:eastAsia="仿宋_GB2312"/>
        </w:rPr>
        <w:t>2、企业资质要求：供应商须具备市政公用工程施工总承包三级及以上资质，并具备有效的安全生产许可证;</w:t>
      </w:r>
    </w:p>
    <w:p>
      <w:pPr>
        <w:pStyle w:val="null3"/>
      </w:pPr>
      <w:r>
        <w:rPr>
          <w:rFonts w:ascii="仿宋_GB2312" w:hAnsi="仿宋_GB2312" w:cs="仿宋_GB2312" w:eastAsia="仿宋_GB2312"/>
        </w:rPr>
        <w:t>3、财务及信誉要求：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供应商应按照汉中市财政局《关于全面推行政府采购供应商基本资格条件承诺制的通知》(汉采办采管[2024]20号)文件要求，提供资格承诺函;(承诺函模板详见磋商文件格式);</w:t>
      </w:r>
    </w:p>
    <w:p>
      <w:pPr>
        <w:pStyle w:val="null3"/>
      </w:pPr>
      <w:r>
        <w:rPr>
          <w:rFonts w:ascii="仿宋_GB2312" w:hAnsi="仿宋_GB2312" w:cs="仿宋_GB2312" w:eastAsia="仿宋_GB2312"/>
        </w:rPr>
        <w:t>4、拟派项目负责人资质和专业：拟派项目经理须具有建筑工程专业二级及以上注册建造师资格和有效的安全考核合格证书，且无在建工程(出具无在建承诺书）。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西乡县骆家坝镇人民政府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西乡县骆家坝镇骆镇新街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西乡县骆家坝镇人民政府经办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17792192122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刘永旺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18391650861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采购包1：1,206,900.00元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开户名称：众赢国际咨询有限责任公司汉中分公司</w:t>
            </w:r>
          </w:p>
          <w:p>
            <w:pPr>
              <w:pStyle w:val="null3"/>
            </w:pPr>
            <w:r>
              <w:rPr>
                <w:rFonts w:ascii="仿宋_GB2312" w:hAnsi="仿宋_GB2312" w:cs="仿宋_GB2312" w:eastAsia="仿宋_GB2312"/>
              </w:rPr>
              <w:t>开户银行：中国建设银行股份有限公司汉中汉台区支行</w:t>
            </w:r>
          </w:p>
          <w:p>
            <w:pPr>
              <w:pStyle w:val="null3"/>
            </w:pPr>
            <w:r>
              <w:rPr>
                <w:rFonts w:ascii="仿宋_GB2312" w:hAnsi="仿宋_GB2312" w:cs="仿宋_GB2312" w:eastAsia="仿宋_GB2312"/>
              </w:rPr>
              <w:t>银行账号：61050165510000001143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代理服务费收费标准：代理服务收费标准及金额:参照国家计委颁布的《招标代理服务收费管理暂行办法》（计价格[2002]1980号）及发改办价格[2003]857号文件规定的标准收取。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西乡县骆家坝镇人民政府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西乡县骆家坝镇人民政府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西乡县骆家坝镇人民政府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招标文件的技术要求、商务要求、供应商的投标文件承诺以及合同约定标准，通过相关部门组织的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联系人：刘永旺</w:t>
      </w:r>
    </w:p>
    <w:p>
      <w:pPr>
        <w:pStyle w:val="null3"/>
      </w:pPr>
      <w:r>
        <w:rPr>
          <w:rFonts w:ascii="仿宋_GB2312" w:hAnsi="仿宋_GB2312" w:cs="仿宋_GB2312" w:eastAsia="仿宋_GB2312"/>
        </w:rPr>
        <w:t>联系电话：18391650861</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1,206,900.00</w:t>
      </w:r>
    </w:p>
    <w:p>
      <w:pPr>
        <w:pStyle w:val="null3"/>
      </w:pPr>
      <w:r>
        <w:rPr>
          <w:rFonts w:ascii="仿宋_GB2312" w:hAnsi="仿宋_GB2312" w:cs="仿宋_GB2312" w:eastAsia="仿宋_GB2312"/>
        </w:rPr>
        <w:t>采购包最高限价（元）: 1,206,900.00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景点治理维护及提质改造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1,206,900.00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标的名称：景点治理维护及提质改造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工程质量必须符合国家行业验收合格标准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1.1、工期： 60日历天； 1.2、质量保修范围和保修期：质保期不少于12个月，质保范围为全部施工内容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1份，电子版文件2份（以U盘为载体，签字盖章扫描后的PDF版本响应文件）。纸质响应文件均须A4纸打印，分别各自装订成册。线下递交响应文件地点：汉中市汉台区悦景湾门面房四单元二楼。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法人或授权委托人</w:t>
            </w:r>
          </w:p>
        </w:tc>
        <w:tc>
          <w:tcPr>
            <w:tcW w:type="dxa" w:w="3322"/>
          </w:tcPr>
          <w:p>
            <w:pPr>
              <w:pStyle w:val="null3"/>
            </w:pPr>
            <w:r>
              <w:rPr>
                <w:rFonts w:ascii="仿宋_GB2312" w:hAnsi="仿宋_GB2312" w:cs="仿宋_GB2312" w:eastAsia="仿宋_GB2312"/>
              </w:rPr>
              <w:t>法定代表人直接参加磋商的，须出具法人身份证;法定代表人授权代表参加磋商的，须出具法定代表人授权书及授权代表身份证;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供应商须具备市政公用工程施工总承包三级及以上资质，并具备有效的安全生产许可证;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财务及信誉要求</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供应商应按照汉中市财政局《关于全面推行政府采购供应商基本资格条件承诺制的通知》(汉采办采管[2024]20号)文件要求，提供资格承诺函;(承诺函模板详见磋商文件格式);</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拟派项目负责人资质和专业</w:t>
            </w:r>
          </w:p>
        </w:tc>
        <w:tc>
          <w:tcPr>
            <w:tcW w:type="dxa" w:w="3322"/>
          </w:tcPr>
          <w:p>
            <w:pPr>
              <w:pStyle w:val="null3"/>
            </w:pPr>
            <w:r>
              <w:rPr>
                <w:rFonts w:ascii="仿宋_GB2312" w:hAnsi="仿宋_GB2312" w:cs="仿宋_GB2312" w:eastAsia="仿宋_GB2312"/>
              </w:rPr>
              <w:t>拟派项目经理须具有建筑工程专业二级及以上注册建造师资格和有效的安全考核合格证书，且无在建工程(出具无在建承诺书）。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供应商应提交的相关资格证明材料.docx 项目管理机构组成表 响应函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施工组织方案.docx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施工方案全面、合理，施工方法先进，可行性强，完全满足工程施工要求的得（8.0--12.0）分； 施工方案全面、合理，施工方法较先进，有一定的可行性，能满足工程施工要求的得（4.0-7.9）分； 施工方案存在部分不完整，施工方法针对本项目基本可行的得（1.0-3.9）分；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有清晰合理的工期计划措施，实施进度安排合理，可行性强，具有详细明确的实施进度计划表，能够确保工程如期保质完成的得（8.0--12.0）分； 进度安排合理，有一定的可行性，实施进度计划基本明确的能够基本保证项目如期完成的得（4.0-7.9）分； 进度安排合理性、可行性均较差的得（1.0-3.9）；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措施完整全面，能够从多方面保证安全生产，且合理性、可行性强的得（8.0--12.0）分； 措施基本完整全面，能从多个方面确保安全生产，基本合理、可行的得（4.0-7.9）分； 措施不完整、全面，但有一定的可行性的得（1.0-3.9）分；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措施全面、完整，能从多方面确保文明施工、考虑影响环境得因素，并提出相关解决和防治措施，实施度高、可落地性强，可确保达到环境保护的要求得（8.0--12.0）分； 措施基本全面、完整，基本有一定的可行性，能基本满足文明施工、环境保护要求的得（4.0-7.9）分 措施存在较大不合理性、内容简单的得（1.0-3.9）分；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有清晰合理的工期计划措施，实施进度安排合理，可行性强，具有详细明确的实施进度计划表，能够确保工程如期保质完成的得（8.0--12.0）分； 进度安排合理，有一定的可行性，实施进度计划基本明确的能够基本保证项目如期完成的得（4.0-7.9）分； 进度安排合理性、可行性均较差的得（1.0-3.9）分；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2023年1月至今，投标企业，承担过类似项目业绩，以合同或中标/成交通知书复印件并加盖单位公章为准，否则不得分。 每有1项得3分，最高得3分。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项目负责人类似业绩</w:t>
            </w:r>
          </w:p>
        </w:tc>
        <w:tc>
          <w:tcPr>
            <w:tcW w:type="dxa" w:w="2492"/>
          </w:tcPr>
          <w:p>
            <w:pPr>
              <w:pStyle w:val="null3"/>
            </w:pPr>
            <w:r>
              <w:rPr>
                <w:rFonts w:ascii="仿宋_GB2312" w:hAnsi="仿宋_GB2312" w:cs="仿宋_GB2312" w:eastAsia="仿宋_GB2312"/>
              </w:rPr>
              <w:t>2023年1月至今，项目负责人，承担过类似项目业绩，以合同或中标/成交通知书为准，否则不得分。 每有1项得2分，最高得2分。 注：项目负责人业绩为本公司业绩，可以累加到企业业绩。</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具备高级职称得 4 分，中级职称得 2分。 项目负责人以职称证（高级）取得的时间为准，超过五年的加1分，最高得5分。 未提供的不得分。 注：以投标单位加盖公章的职称证复印件证明材料为准，职称证原件备查。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以实质性满足招标文件要求的最低投标价格为基准值，投标报价得分=（评标基准价/投标报价）×30。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