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版本号：ZYGL-2026-HZ-20220260318001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关于西乡县公共体育场维修改造项目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ZYGL-2026-HZ-202</w:t>
      </w:r>
      <w:r>
        <w:br/>
      </w:r>
      <w:r>
        <w:br/>
      </w:r>
      <w:r>
        <w:br/>
      </w:r>
    </w:p>
    <w:p>
      <w:pPr>
        <w:pStyle w:val="null3"/>
        <w:jc w:val="center"/>
        <w:outlineLvl w:val="2"/>
      </w:pPr>
      <w:r>
        <w:rPr>
          <w:rFonts w:ascii="仿宋_GB2312" w:hAnsi="仿宋_GB2312" w:cs="仿宋_GB2312" w:eastAsia="仿宋_GB2312"/>
          <w:sz w:val="28"/>
          <w:b/>
        </w:rPr>
        <w:t>西乡县第二中学</w:t>
      </w:r>
    </w:p>
    <w:p>
      <w:pPr>
        <w:pStyle w:val="null3"/>
        <w:jc w:val="center"/>
        <w:outlineLvl w:val="2"/>
      </w:pPr>
      <w:r>
        <w:rPr>
          <w:rFonts w:ascii="仿宋_GB2312" w:hAnsi="仿宋_GB2312" w:cs="仿宋_GB2312" w:eastAsia="仿宋_GB2312"/>
          <w:sz w:val="28"/>
          <w:b/>
        </w:rPr>
        <w:t>陕西众依项目管理有限公司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陕西众依项目管理有限公司</w:t>
      </w:r>
      <w:r>
        <w:rPr>
          <w:rFonts w:ascii="仿宋_GB2312" w:hAnsi="仿宋_GB2312" w:cs="仿宋_GB2312" w:eastAsia="仿宋_GB2312"/>
        </w:rPr>
        <w:t>（以下简称“代理机构”）受</w:t>
      </w:r>
      <w:r>
        <w:rPr>
          <w:rFonts w:ascii="仿宋_GB2312" w:hAnsi="仿宋_GB2312" w:cs="仿宋_GB2312" w:eastAsia="仿宋_GB2312"/>
        </w:rPr>
        <w:t>西乡县第二中学</w:t>
      </w:r>
      <w:r>
        <w:rPr>
          <w:rFonts w:ascii="仿宋_GB2312" w:hAnsi="仿宋_GB2312" w:cs="仿宋_GB2312" w:eastAsia="仿宋_GB2312"/>
        </w:rPr>
        <w:t>委托，拟对</w:t>
      </w:r>
      <w:r>
        <w:rPr>
          <w:rFonts w:ascii="仿宋_GB2312" w:hAnsi="仿宋_GB2312" w:cs="仿宋_GB2312" w:eastAsia="仿宋_GB2312"/>
        </w:rPr>
        <w:t>关于西乡县公共体育场维修改造项目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ZYGL-2026-HZ-202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关于西乡县公共体育场维修改造项目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西乡县公共体育场维修改造项目主要内容：拆除原塑胶跑道；拆除原足球场草坪；拆除原篮球场、排球场、羽毛球场硅pu的地面；新作13mm厚的透气型塑胶跑道和8mm厚的硅PU地面等。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采购包1（西乡县公共体育场维修改造项目）：属于专门面向中小企业采购。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2、法定代表人或授权委托人身份证明：法定代表人或负责人直接参与磋商时需提供身份证明书及身份证原件或复印件加盖公章 ；被授权人参与磋商时需提供法定代表人或负责人授权委托书（附法定代表人或负责人及被授权人身份证复印件并加盖公章）；</w:t>
      </w:r>
    </w:p>
    <w:p>
      <w:pPr>
        <w:pStyle w:val="null3"/>
      </w:pPr>
      <w:r>
        <w:rPr>
          <w:rFonts w:ascii="仿宋_GB2312" w:hAnsi="仿宋_GB2312" w:cs="仿宋_GB2312" w:eastAsia="仿宋_GB2312"/>
        </w:rPr>
        <w:t>3、供应商资质和专业要求：供应商须具备建设行政主管部门颁发的市政公用工程施工总承包二级及以上资质、具有有效的安全生产许可证；</w:t>
      </w:r>
    </w:p>
    <w:p>
      <w:pPr>
        <w:pStyle w:val="null3"/>
      </w:pPr>
      <w:r>
        <w:rPr>
          <w:rFonts w:ascii="仿宋_GB2312" w:hAnsi="仿宋_GB2312" w:cs="仿宋_GB2312" w:eastAsia="仿宋_GB2312"/>
        </w:rPr>
        <w:t>4、拟派项目经理：拟派项目经理须具备在本单位注册的市政公用工程二级及以上注册建造师证书和有效的安全考核合格B证，且无在建项目；</w:t>
      </w:r>
    </w:p>
    <w:p>
      <w:pPr>
        <w:pStyle w:val="null3"/>
      </w:pPr>
      <w:r>
        <w:rPr>
          <w:rFonts w:ascii="仿宋_GB2312" w:hAnsi="仿宋_GB2312" w:cs="仿宋_GB2312" w:eastAsia="仿宋_GB2312"/>
        </w:rPr>
        <w:t>5、《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需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西乡县第二中学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西乡县鹿龄路西段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西乡县第二中学经办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0916-6306016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陕西众依项目管理有限公司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陕西省西安市雁塔区汉华曲江中心T1楼11223</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18192640071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王文德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0916-8151150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采购包1：2,130,000.00元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开户名称：陕西众依项目管理有限公司</w:t>
            </w:r>
          </w:p>
          <w:p>
            <w:pPr>
              <w:pStyle w:val="null3"/>
            </w:pPr>
            <w:r>
              <w:rPr>
                <w:rFonts w:ascii="仿宋_GB2312" w:hAnsi="仿宋_GB2312" w:cs="仿宋_GB2312" w:eastAsia="仿宋_GB2312"/>
              </w:rPr>
              <w:t>开户银行：西安银行纺织城支行</w:t>
            </w:r>
          </w:p>
          <w:p>
            <w:pPr>
              <w:pStyle w:val="null3"/>
            </w:pPr>
            <w:r>
              <w:rPr>
                <w:rFonts w:ascii="仿宋_GB2312" w:hAnsi="仿宋_GB2312" w:cs="仿宋_GB2312" w:eastAsia="仿宋_GB2312"/>
              </w:rPr>
              <w:t>银行账号：381011580000304215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2002年颁发的《招标代理服务收费管理暂行办法》(计价格〔2002〕1980号)、发展改革委员会办公厅颁发的《关于招标代理服务费收费有关问题的通知》（发改办价格[2003]857号）及《调整后的招标代理服务收费标准》(发改价格〔2011〕534号)规定.</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西乡县第二中学</w:t>
      </w:r>
      <w:r>
        <w:rPr>
          <w:rFonts w:ascii="仿宋_GB2312" w:hAnsi="仿宋_GB2312" w:cs="仿宋_GB2312" w:eastAsia="仿宋_GB2312"/>
        </w:rPr>
        <w:t>和</w:t>
      </w:r>
      <w:r>
        <w:rPr>
          <w:rFonts w:ascii="仿宋_GB2312" w:hAnsi="仿宋_GB2312" w:cs="仿宋_GB2312" w:eastAsia="仿宋_GB2312"/>
        </w:rPr>
        <w:t>陕西众依项目管理有限公司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西乡县第二中学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陕西众依项目管理有限公司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西乡县第二中学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陕西众依项目管理有限公司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陕西众依项目管理有限公司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陕西众依项目管理有限公司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陕西众依项目管理有限公司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联系人：程工</w:t>
      </w:r>
    </w:p>
    <w:p>
      <w:pPr>
        <w:pStyle w:val="null3"/>
      </w:pPr>
      <w:r>
        <w:rPr>
          <w:rFonts w:ascii="仿宋_GB2312" w:hAnsi="仿宋_GB2312" w:cs="仿宋_GB2312" w:eastAsia="仿宋_GB2312"/>
        </w:rPr>
        <w:t>联系电话：18192640071</w:t>
      </w:r>
    </w:p>
    <w:p>
      <w:pPr>
        <w:pStyle w:val="null3"/>
      </w:pPr>
      <w:r>
        <w:rPr>
          <w:rFonts w:ascii="仿宋_GB2312" w:hAnsi="仿宋_GB2312" w:cs="仿宋_GB2312" w:eastAsia="仿宋_GB2312"/>
        </w:rPr>
        <w:t>地址：陕西省西安市雁塔区汉华曲江中心T1楼11223</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2,130,000.00</w:t>
      </w:r>
    </w:p>
    <w:p>
      <w:pPr>
        <w:pStyle w:val="null3"/>
      </w:pPr>
      <w:r>
        <w:rPr>
          <w:rFonts w:ascii="仿宋_GB2312" w:hAnsi="仿宋_GB2312" w:cs="仿宋_GB2312" w:eastAsia="仿宋_GB2312"/>
        </w:rPr>
        <w:t>采购包最高限价（元）: 2,130,000.00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公共体育场维修改造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2,130,000.00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标的名称：公共体育场维修改造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对塑胶跑道和篮球场、排球场、羽毛球场进行维修改造。</w:t>
            </w:r>
          </w:p>
          <w:p>
            <w:pPr>
              <w:pStyle w:val="null3"/>
            </w:pPr>
            <w:r>
              <w:rPr>
                <w:rFonts w:ascii="仿宋_GB2312" w:hAnsi="仿宋_GB2312" w:cs="仿宋_GB2312" w:eastAsia="仿宋_GB2312"/>
              </w:rPr>
              <w:t>拆除原塑胶跑道；拆除原足球场草坪；拆除原篮球场、排球场、羽毛球场硅pu的地面；新作13mm厚的透气型塑胶跑道和8mm厚的硅PU地面等。</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1、所有工程须符合行业标准及相关规定； 2、所有工程须符合国家有关规范和执行标准。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合同签订后40个日历日内施工、交付验收完毕；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中小企业声明函 残疾人福利性单位声明函 技术服务合同条款及其他商务要求应答表 供应商应提交的相关资格证明材料 响应函 监狱企业的证明文件 强制优先采购产品承诺函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 强制优先采购产品承诺函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 供应商认为有必要的其他证明材料.docx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法定代表人或授权委托人身份证明</w:t>
            </w:r>
          </w:p>
        </w:tc>
        <w:tc>
          <w:tcPr>
            <w:tcW w:type="dxa" w:w="3322"/>
          </w:tcPr>
          <w:p>
            <w:pPr>
              <w:pStyle w:val="null3"/>
            </w:pPr>
            <w:r>
              <w:rPr>
                <w:rFonts w:ascii="仿宋_GB2312" w:hAnsi="仿宋_GB2312" w:cs="仿宋_GB2312" w:eastAsia="仿宋_GB2312"/>
              </w:rPr>
              <w:t>法定代表人或负责人直接参与磋商时需提供身份证明书及身份证原件或复印件加盖公章 ；被授权人参与磋商时需提供法定代表人或负责人授权委托书（附法定代表人或负责人及被授权人身份证复印件并加盖公章）；</w:t>
            </w:r>
          </w:p>
        </w:tc>
        <w:tc>
          <w:tcPr>
            <w:tcW w:type="dxa" w:w="1661"/>
          </w:tcPr>
          <w:p>
            <w:pPr>
              <w:pStyle w:val="null3"/>
            </w:pPr>
            <w:r>
              <w:rPr>
                <w:rFonts w:ascii="仿宋_GB2312" w:hAnsi="仿宋_GB2312" w:cs="仿宋_GB2312" w:eastAsia="仿宋_GB2312"/>
              </w:rPr>
              <w:t>供应商应提交的相关资格证明材料 供应商认为有必要的其他证明材料.docx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供应商资质和专业要求</w:t>
            </w:r>
          </w:p>
        </w:tc>
        <w:tc>
          <w:tcPr>
            <w:tcW w:type="dxa" w:w="3322"/>
          </w:tcPr>
          <w:p>
            <w:pPr>
              <w:pStyle w:val="null3"/>
            </w:pPr>
            <w:r>
              <w:rPr>
                <w:rFonts w:ascii="仿宋_GB2312" w:hAnsi="仿宋_GB2312" w:cs="仿宋_GB2312" w:eastAsia="仿宋_GB2312"/>
              </w:rPr>
              <w:t>供应商须具备建设行政主管部门颁发的市政公用工程施工总承包二级及以上资质、具有有效的安全生产许可证；</w:t>
            </w:r>
          </w:p>
        </w:tc>
        <w:tc>
          <w:tcPr>
            <w:tcW w:type="dxa" w:w="1661"/>
          </w:tcPr>
          <w:p>
            <w:pPr>
              <w:pStyle w:val="null3"/>
            </w:pPr>
            <w:r>
              <w:rPr>
                <w:rFonts w:ascii="仿宋_GB2312" w:hAnsi="仿宋_GB2312" w:cs="仿宋_GB2312" w:eastAsia="仿宋_GB2312"/>
              </w:rPr>
              <w:t>供应商应提交的相关资格证明材料 供应商认为有必要的其他证明材料.docx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拟派项目经理须具备在本单位注册的市政公用工程二级及以上注册建造师证书和有效的安全考核合格B证，且无在建项目；</w:t>
            </w:r>
          </w:p>
        </w:tc>
        <w:tc>
          <w:tcPr>
            <w:tcW w:type="dxa" w:w="1661"/>
          </w:tcPr>
          <w:p>
            <w:pPr>
              <w:pStyle w:val="null3"/>
            </w:pPr>
            <w:r>
              <w:rPr>
                <w:rFonts w:ascii="仿宋_GB2312" w:hAnsi="仿宋_GB2312" w:cs="仿宋_GB2312" w:eastAsia="仿宋_GB2312"/>
              </w:rPr>
              <w:t>项目管理机构组成表 供应商应提交的相关资格证明材料 供应商认为有必要的其他证明材料.docx 主要人员简历表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需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 供应商认为有必要的其他证明材料.docx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响应签字、盖章</w:t>
            </w:r>
          </w:p>
        </w:tc>
        <w:tc>
          <w:tcPr>
            <w:tcW w:type="dxa" w:w="3322"/>
          </w:tcPr>
          <w:p>
            <w:pPr>
              <w:pStyle w:val="null3"/>
            </w:pPr>
            <w:r>
              <w:rPr>
                <w:rFonts w:ascii="仿宋_GB2312" w:hAnsi="仿宋_GB2312" w:cs="仿宋_GB2312" w:eastAsia="仿宋_GB2312"/>
              </w:rPr>
              <w:t>响应文件签署、盖章是否按竞争性磋商文件要求盖章。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供应商认为有必要的其他证明材料.docx 施工组织设计.docx 强制优先采购产品承诺函 响应文件封面 项目管理机构组成表 残疾人福利性单位声明函 拒绝政府采购领域商业贿赂承诺书.docx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响应文件中是否有保证金缴纳凭证</w:t>
            </w:r>
          </w:p>
        </w:tc>
        <w:tc>
          <w:tcPr>
            <w:tcW w:type="dxa" w:w="3322"/>
          </w:tcPr>
          <w:p>
            <w:pPr>
              <w:pStyle w:val="null3"/>
            </w:pPr>
            <w:r>
              <w:rPr>
                <w:rFonts w:ascii="仿宋_GB2312" w:hAnsi="仿宋_GB2312" w:cs="仿宋_GB2312" w:eastAsia="仿宋_GB2312"/>
              </w:rPr>
              <w:t>以转账、网上银行支付等方式交纳的，须提供保证金银行转账款凭证复印件（加盖法人公章）以及基本存款账户开户许可证复印件（加盖法人公章）；</w:t>
            </w:r>
          </w:p>
        </w:tc>
        <w:tc>
          <w:tcPr>
            <w:tcW w:type="dxa" w:w="1661"/>
          </w:tcPr>
          <w:p>
            <w:pPr>
              <w:pStyle w:val="null3"/>
            </w:pPr>
            <w:r>
              <w:rPr>
                <w:rFonts w:ascii="仿宋_GB2312" w:hAnsi="仿宋_GB2312" w:cs="仿宋_GB2312" w:eastAsia="仿宋_GB2312"/>
              </w:rPr>
              <w:t>供应商应提交的相关资格证明材料 供应商认为有必要的其他证明材料.docx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施工组织计划</w:t>
            </w:r>
          </w:p>
        </w:tc>
        <w:tc>
          <w:tcPr>
            <w:tcW w:type="dxa" w:w="2492"/>
          </w:tcPr>
          <w:p>
            <w:pPr>
              <w:pStyle w:val="null3"/>
            </w:pPr>
            <w:r>
              <w:rPr>
                <w:rFonts w:ascii="仿宋_GB2312" w:hAnsi="仿宋_GB2312" w:cs="仿宋_GB2312" w:eastAsia="仿宋_GB2312"/>
              </w:rPr>
              <w:t>1、整体施工组织计划详细、符合项目特点及要求，各专业施工工艺及技术措施科学合理，得5分； 2、整体施工组织计划较为详细、可以满足项目要求，得2分； 3、整体施工组织计划描述简单、可以满足项目要求、可行，得1分； 4、完全不符合得0分。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拒绝政府采购领域商业贿赂承诺书.docx</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施工管理方案</w:t>
            </w:r>
          </w:p>
        </w:tc>
        <w:tc>
          <w:tcPr>
            <w:tcW w:type="dxa" w:w="2492"/>
          </w:tcPr>
          <w:p>
            <w:pPr>
              <w:pStyle w:val="null3"/>
            </w:pPr>
            <w:r>
              <w:rPr>
                <w:rFonts w:ascii="仿宋_GB2312" w:hAnsi="仿宋_GB2312" w:cs="仿宋_GB2312" w:eastAsia="仿宋_GB2312"/>
              </w:rPr>
              <w:t>包括但不限于施工现场的人员管理、材料堆放、设备维护、环境卫生、腾挪方案等方面： 1、管理方案切实可行、细致严谨、科学合理、管理思路清晰得8分； 2、管理方案基本可行、较为严谨、比较合理，管理思路基本清晰得6分； 3、管理方案可行性差，缺乏严谨性和合理性，管理思路混乱的3分； 4、未提供不得分。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原材料采购方案</w:t>
            </w:r>
          </w:p>
        </w:tc>
        <w:tc>
          <w:tcPr>
            <w:tcW w:type="dxa" w:w="2492"/>
          </w:tcPr>
          <w:p>
            <w:pPr>
              <w:pStyle w:val="null3"/>
            </w:pPr>
            <w:r>
              <w:rPr>
                <w:rFonts w:ascii="仿宋_GB2312" w:hAnsi="仿宋_GB2312" w:cs="仿宋_GB2312" w:eastAsia="仿宋_GB2312"/>
              </w:rPr>
              <w:t>1、方案内容详实、全面，明确了原材料的种类、采购渠道、价格控制措施等关键环节，且措施具体可行，具有较强的可操作性和风险防范能力得5分； 2、方案内容基本完整，对原材料采购的主要方面有所涉及，部分措施不够具体得3分； 3、方案内容简单笼统，缺乏对原材料采购关键环 节的明确规划和具体措施得1分； 4、未提供不得分。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应急实施方案</w:t>
            </w:r>
          </w:p>
        </w:tc>
        <w:tc>
          <w:tcPr>
            <w:tcW w:type="dxa" w:w="2492"/>
          </w:tcPr>
          <w:p>
            <w:pPr>
              <w:pStyle w:val="null3"/>
            </w:pPr>
            <w:r>
              <w:rPr>
                <w:rFonts w:ascii="仿宋_GB2312" w:hAnsi="仿宋_GB2312" w:cs="仿宋_GB2312" w:eastAsia="仿宋_GB2312"/>
              </w:rPr>
              <w:t>1、方案内容全面、科学合理，措施具体明确且具有很强的可操作性和有效性，能够全面覆盖应急项目的所有关键环节得4分； 2、方案内容较为完整，措施相对具体，具备一定的可操作性和有效性，能够覆盖应急项目的主要方面得2分； 3、方案内容残缺不全，对应急项目的关键环节几乎没有涉及，措施空洞，不具备可操作性和有效性得1分； 4、未提供不得分。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安全文明施工现场管理</w:t>
            </w:r>
          </w:p>
        </w:tc>
        <w:tc>
          <w:tcPr>
            <w:tcW w:type="dxa" w:w="2492"/>
          </w:tcPr>
          <w:p>
            <w:pPr>
              <w:pStyle w:val="null3"/>
            </w:pPr>
            <w:r>
              <w:rPr>
                <w:rFonts w:ascii="仿宋_GB2312" w:hAnsi="仿宋_GB2312" w:cs="仿宋_GB2312" w:eastAsia="仿宋_GB2312"/>
              </w:rPr>
              <w:t>对供应商提供的安全管理制度、文明施工管理制度、人员管理制度、防尘等管理制度、安全文明施工管理体系进行评审： 1、制度完善、合理，有针对性的得5分； 2、制度较完善、合理的得2分； 3、制度不完善的得1分； 4、未提供不得分。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工程质量保证体系和技术措施</w:t>
            </w:r>
          </w:p>
        </w:tc>
        <w:tc>
          <w:tcPr>
            <w:tcW w:type="dxa" w:w="2492"/>
          </w:tcPr>
          <w:p>
            <w:pPr>
              <w:pStyle w:val="null3"/>
            </w:pPr>
            <w:r>
              <w:rPr>
                <w:rFonts w:ascii="仿宋_GB2312" w:hAnsi="仿宋_GB2312" w:cs="仿宋_GB2312" w:eastAsia="仿宋_GB2312"/>
              </w:rPr>
              <w:t>对供应商提供的工程质量保证体系和技术措施进行评审（包括但不限于施工过程中保证学校正常工作）： 1、质量管理体系健全，具有完整、可行的质量保证体系和质量控制措施，且主要工程和关键部位的技术措施和施工方法明确，主要材料设备质量标准明确、质量控制措施合理、质量溯源及保证措施合理，有满足工程质量检测要求的设备的得5分； 2、质量管理体系基本健全，具有较完整、可行的质量保证体系和质量控制措施，且主要工程和关键部位的技术措施和施工方法基本明确，主要材料设备质量标准基本明确、质量控制措施基本合理、质量溯源及保证措施基本合理的得3分； 3、质量管理体系基本健全，具有较完整、可行的质量保证体系和质量控制措施的得1分； 4、未提供不得分。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确保计划工期的技术组织措施</w:t>
            </w:r>
          </w:p>
        </w:tc>
        <w:tc>
          <w:tcPr>
            <w:tcW w:type="dxa" w:w="2492"/>
          </w:tcPr>
          <w:p>
            <w:pPr>
              <w:pStyle w:val="null3"/>
            </w:pPr>
            <w:r>
              <w:rPr>
                <w:rFonts w:ascii="仿宋_GB2312" w:hAnsi="仿宋_GB2312" w:cs="仿宋_GB2312" w:eastAsia="仿宋_GB2312"/>
              </w:rPr>
              <w:t>对供应商提供的确保计划工期的技术组织措施进行评审： 1、措施完善、合理，有针对性的得5分； 2、措施较完善、合理的得3分； 3、措施不完善的得1分； 4、未提供不得分。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对供应商提供的确保安全生产的技术组织措施进行评审： 1、措施内容详实、有针对性的得5分； 2、措施内容基本完整的得3分； 3、措施有缺漏的得1分； 4、未提供不得分。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对供应商施工机械配备和材料投入计划进行评审： 1、机械、材料配备完整且满足项目需求的得 6 分； 2、机械、材料配备基本完整的得3分； 3、机械、材料配备不完善的得1分； 4、未提供不得分。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项目组织管理机构投入</w:t>
            </w:r>
          </w:p>
        </w:tc>
        <w:tc>
          <w:tcPr>
            <w:tcW w:type="dxa" w:w="2492"/>
          </w:tcPr>
          <w:p>
            <w:pPr>
              <w:pStyle w:val="null3"/>
            </w:pPr>
            <w:r>
              <w:rPr>
                <w:rFonts w:ascii="仿宋_GB2312" w:hAnsi="仿宋_GB2312" w:cs="仿宋_GB2312" w:eastAsia="仿宋_GB2312"/>
              </w:rPr>
              <w:t>供应商针对本项目的项目管理机构(8分):包括但不限于 1项目管理机构图;2岗位安排及职责(配备技术人员、施工员、安全员、资料员、材料员、质量员等):3管理制度:4相应的协调措施。每缺一项扣2分。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雨季施工管理方案</w:t>
            </w:r>
          </w:p>
        </w:tc>
        <w:tc>
          <w:tcPr>
            <w:tcW w:type="dxa" w:w="2492"/>
          </w:tcPr>
          <w:p>
            <w:pPr>
              <w:pStyle w:val="null3"/>
            </w:pPr>
            <w:r>
              <w:rPr>
                <w:rFonts w:ascii="仿宋_GB2312" w:hAnsi="仿宋_GB2312" w:cs="仿宋_GB2312" w:eastAsia="仿宋_GB2312"/>
              </w:rPr>
              <w:t>对供应商雨季施工管理方案进行评审： 1、雨季施工管理明确职责、措施及应急预案的计5分；2、雨季施工管理职责不全面、措施不完整及应急预案不合理的计3分；3、雨季施工管理职责不清晰，措施不得当、应急预案不合理的计1分；不提供的不计分。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质量保修承诺完整、合理及后续服务条款具体、可行，得4分；质量保修承诺含糊及后续服务条款基本可行，得2分，未提供不计分。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供应商认为有必要的其他证明材料.docx</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提供2022年03月至今类似项目业绩（以合同扫描件和中标通知书为准，日期以合同签订时间为准，合同文本需体现合同范围、签订时间、首尾页及签字盖章页等），每提供一份得1分，最高得5分，不提供不计分。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价格分采用低价优先法计算，即满足竞争性磋商文件要求且磋商报价最低的磋商报价为评标基准价，其价格分为满分。其他供应商的价格分统一按照下列公式计算： 磋商报价得分=（评审基准价/磋商报价）×价格权值×100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详见附件：供应商认为有必要的其他证明材料.docx</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详见附件：合同条款（参考）.docx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