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版本号：CG-JMYC-2026-01620260305002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CG-JMYC-2026-016</w:t>
      </w:r>
      <w:r>
        <w:br/>
      </w:r>
      <w:r>
        <w:br/>
      </w:r>
      <w:r>
        <w:br/>
      </w:r>
    </w:p>
    <w:p>
      <w:pPr>
        <w:pStyle w:val="null3"/>
        <w:jc w:val="center"/>
        <w:outlineLvl w:val="2"/>
      </w:pPr>
      <w:r>
        <w:rPr>
          <w:rFonts w:ascii="仿宋_GB2312" w:hAnsi="仿宋_GB2312" w:cs="仿宋_GB2312" w:eastAsia="仿宋_GB2312"/>
          <w:sz w:val="28"/>
          <w:b/>
        </w:rPr>
        <w:t>西乡县第一中学</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西乡县第一中学</w:t>
      </w:r>
      <w:r>
        <w:rPr>
          <w:rFonts w:ascii="仿宋_GB2312" w:hAnsi="仿宋_GB2312" w:cs="仿宋_GB2312" w:eastAsia="仿宋_GB2312"/>
        </w:rPr>
        <w:t>委托，拟对</w:t>
      </w:r>
      <w:r>
        <w:rPr>
          <w:rFonts w:ascii="仿宋_GB2312" w:hAnsi="仿宋_GB2312" w:cs="仿宋_GB2312" w:eastAsia="仿宋_GB2312"/>
        </w:rPr>
        <w:t>操场维修改造项目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体育器材室，层数2层，结构形式：框架结构。室外部分场地铺设硅PU，铺设透水砖，埋设DN300混凝土管道，拆除原有围墙，新建围墙，底部砌筑片石挡墙，舞台现有墙体加高，原有外墙表面涂料层拆除，外墙表面刷真石漆，表面刷20mm厚EPDM面层及电力和通信管道铺设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事业法人、其他组织或自然人，提供营业执照（事业单位须事业单位法人证、组织机构代码证等证明文件；其他组织应提供合法证明文件、自然人提供身份证明文件）</w:t>
      </w:r>
    </w:p>
    <w:p>
      <w:pPr>
        <w:pStyle w:val="null3"/>
      </w:pPr>
      <w:r>
        <w:rPr>
          <w:rFonts w:ascii="仿宋_GB2312" w:hAnsi="仿宋_GB2312" w:cs="仿宋_GB2312" w:eastAsia="仿宋_GB2312"/>
        </w:rPr>
        <w:t>2、供应商资质要求：供应商具有建筑工程施工总承包三级以上（含三级）资质，具有有效的安全生产许可证；</w:t>
      </w:r>
    </w:p>
    <w:p>
      <w:pPr>
        <w:pStyle w:val="null3"/>
      </w:pPr>
      <w:r>
        <w:rPr>
          <w:rFonts w:ascii="仿宋_GB2312" w:hAnsi="仿宋_GB2312" w:cs="仿宋_GB2312" w:eastAsia="仿宋_GB2312"/>
        </w:rPr>
        <w:t>3、拟派项目负责人资质及专业要求：拟派项目负责人须具有建筑工程专业注册建造师二级（含二级）以上资格和安全生产考核合格B证，且无在建项目；</w:t>
      </w:r>
    </w:p>
    <w:p>
      <w:pPr>
        <w:pStyle w:val="null3"/>
      </w:pPr>
      <w:r>
        <w:rPr>
          <w:rFonts w:ascii="仿宋_GB2312" w:hAnsi="仿宋_GB2312" w:cs="仿宋_GB2312" w:eastAsia="仿宋_GB2312"/>
        </w:rPr>
        <w:t>4、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按照汉财办采管[2024]20号文件要求，提供《汉中市政府采购供应商资格承诺函》；</w:t>
      </w:r>
    </w:p>
    <w:p>
      <w:pPr>
        <w:pStyle w:val="null3"/>
      </w:pPr>
      <w:r>
        <w:rPr>
          <w:rFonts w:ascii="仿宋_GB2312" w:hAnsi="仿宋_GB2312" w:cs="仿宋_GB2312" w:eastAsia="仿宋_GB2312"/>
        </w:rPr>
        <w:t>5、磋商代表要求：供应商应授权合法的人员参加磋商，其中法定代表人直接参加的，须出具法定代表人身份证明书及法人身份证；授权代表参加的，须出具法定代表人授权书及被授权人身份证；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县城北环路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陈月恒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采购包1：2,648,635.82元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 1398 3701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展改革委员会办公厅关于招标代理服务收费有关问题的通知》（发改办价格〔2003〕857号）文件标准计算。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西乡县第一中学</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地址：陕西省汉中市汉台区南关正街汉上第一街12号楼19层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2,648,635.82</w:t>
      </w:r>
    </w:p>
    <w:p>
      <w:pPr>
        <w:pStyle w:val="null3"/>
      </w:pPr>
      <w:r>
        <w:rPr>
          <w:rFonts w:ascii="仿宋_GB2312" w:hAnsi="仿宋_GB2312" w:cs="仿宋_GB2312" w:eastAsia="仿宋_GB2312"/>
        </w:rPr>
        <w:t>采购包最高限价（元）: 2,648,635.82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2,648,635.82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left"/>
            </w:pPr>
            <w:r>
              <w:rPr>
                <w:rFonts w:ascii="仿宋_GB2312" w:hAnsi="仿宋_GB2312" w:cs="仿宋_GB2312" w:eastAsia="仿宋_GB2312"/>
              </w:rPr>
              <w:t>一、工程概况：</w:t>
            </w:r>
          </w:p>
          <w:p>
            <w:pPr>
              <w:pStyle w:val="null3"/>
            </w:pPr>
            <w:r>
              <w:rPr>
                <w:rFonts w:ascii="仿宋_GB2312" w:hAnsi="仿宋_GB2312" w:cs="仿宋_GB2312" w:eastAsia="仿宋_GB2312"/>
              </w:rPr>
              <w:t>本工程建设地点位于西乡县第一中学校园内，主要建设内容：体育器材室建筑面积260㎡，层数2层，结构形式：框架结构。室外部分场地铺设硅PU面积6035.81㎡，铺设透水砖712㎡，埋设DN300混凝土管道长123m，拆除原有围墙33m，新建围墙15m，底部砌筑片石挡墙，舞台现有墙体加高，原有外墙表面涂料层拆除，外墙表面刷真石漆，表面刷20mm厚EPDM面层及电力和通信管道铺设等。</w:t>
            </w:r>
          </w:p>
          <w:p>
            <w:pPr>
              <w:pStyle w:val="null3"/>
            </w:pPr>
            <w:r>
              <w:rPr>
                <w:rFonts w:ascii="仿宋_GB2312" w:hAnsi="仿宋_GB2312" w:cs="仿宋_GB2312" w:eastAsia="仿宋_GB2312"/>
              </w:rPr>
              <w:t xml:space="preserve"> 二、编制依据：</w:t>
            </w:r>
          </w:p>
          <w:p>
            <w:pPr>
              <w:pStyle w:val="null3"/>
            </w:pPr>
            <w:r>
              <w:rPr>
                <w:rFonts w:ascii="仿宋_GB2312" w:hAnsi="仿宋_GB2312" w:cs="仿宋_GB2312" w:eastAsia="仿宋_GB2312"/>
              </w:rPr>
              <w:t>1、陕西省工程建设标准《建设工程工程量清单计价标准》DB61/T 5126-2025；</w:t>
            </w:r>
          </w:p>
          <w:p>
            <w:pPr>
              <w:pStyle w:val="null3"/>
            </w:pPr>
            <w:r>
              <w:rPr>
                <w:rFonts w:ascii="仿宋_GB2312" w:hAnsi="仿宋_GB2312" w:cs="仿宋_GB2312" w:eastAsia="仿宋_GB2312"/>
              </w:rPr>
              <w:t>2、陕西省工程建设标准《房屋建筑与装饰工程工程量计算标准》DB61/T 5129-2025、陕西省工程建设标准《通用安装工程工程量计算标准》；</w:t>
            </w:r>
          </w:p>
          <w:p>
            <w:pPr>
              <w:pStyle w:val="null3"/>
            </w:pPr>
            <w:r>
              <w:rPr>
                <w:rFonts w:ascii="仿宋_GB2312" w:hAnsi="仿宋_GB2312" w:cs="仿宋_GB2312" w:eastAsia="仿宋_GB2312"/>
              </w:rPr>
              <w:t>3、《陕西省建设工程费用规则》（2025）；</w:t>
            </w:r>
          </w:p>
          <w:p>
            <w:pPr>
              <w:pStyle w:val="null3"/>
            </w:pPr>
            <w:r>
              <w:rPr>
                <w:rFonts w:ascii="仿宋_GB2312" w:hAnsi="仿宋_GB2312" w:cs="仿宋_GB2312" w:eastAsia="仿宋_GB2312"/>
              </w:rPr>
              <w:t>4、《陕西省房屋建筑与装饰工程消耗量定额》（2025）、《陕西省通用安装工程消耗量定额》（2025）；</w:t>
            </w:r>
          </w:p>
          <w:p>
            <w:pPr>
              <w:pStyle w:val="null3"/>
            </w:pPr>
            <w:r>
              <w:rPr>
                <w:rFonts w:ascii="仿宋_GB2312" w:hAnsi="仿宋_GB2312" w:cs="仿宋_GB2312" w:eastAsia="仿宋_GB2312"/>
              </w:rPr>
              <w:t>5、《陕西省房屋建筑与装饰工程基价表》(2025)、《陕西省通用安装工程基价表》(2025)；</w:t>
            </w:r>
          </w:p>
          <w:p>
            <w:pPr>
              <w:pStyle w:val="null3"/>
            </w:pPr>
            <w:r>
              <w:rPr>
                <w:rFonts w:ascii="仿宋_GB2312" w:hAnsi="仿宋_GB2312" w:cs="仿宋_GB2312" w:eastAsia="仿宋_GB2312"/>
              </w:rPr>
              <w:t>6、《陕西省建设工程施工机械台班费用定额》（2025）、《陕西省建设工程施工仪器仪表台班费用定额》（2025）；</w:t>
            </w:r>
          </w:p>
          <w:p>
            <w:pPr>
              <w:pStyle w:val="null3"/>
            </w:pPr>
            <w:r>
              <w:rPr>
                <w:rFonts w:ascii="仿宋_GB2312" w:hAnsi="仿宋_GB2312" w:cs="仿宋_GB2312" w:eastAsia="仿宋_GB2312"/>
              </w:rPr>
              <w:t>7、材料价依据《汉中市建设工程信息》2025年第12期。</w:t>
            </w:r>
          </w:p>
          <w:p>
            <w:pPr>
              <w:pStyle w:val="null3"/>
            </w:pPr>
            <w:r>
              <w:rPr>
                <w:rFonts w:ascii="仿宋_GB2312" w:hAnsi="仿宋_GB2312" w:cs="仿宋_GB2312" w:eastAsia="仿宋_GB2312"/>
              </w:rPr>
              <w:t>三，其他有关问题：</w:t>
            </w:r>
          </w:p>
          <w:p>
            <w:pPr>
              <w:pStyle w:val="null3"/>
            </w:pPr>
            <w:r>
              <w:rPr>
                <w:rFonts w:ascii="仿宋_GB2312" w:hAnsi="仿宋_GB2312" w:cs="仿宋_GB2312" w:eastAsia="仿宋_GB2312"/>
              </w:rPr>
              <w:t>1.土方外运按照5km计算，垃圾外运按照7km计算；</w:t>
            </w:r>
          </w:p>
          <w:p>
            <w:pPr>
              <w:pStyle w:val="null3"/>
            </w:pPr>
            <w:r>
              <w:rPr>
                <w:rFonts w:ascii="仿宋_GB2312" w:hAnsi="仿宋_GB2312" w:cs="仿宋_GB2312" w:eastAsia="仿宋_GB2312"/>
              </w:rPr>
              <w:t>2.硬化路面恢复暂按厚度18cm计算；</w:t>
            </w:r>
          </w:p>
          <w:p>
            <w:pPr>
              <w:pStyle w:val="null3"/>
            </w:pPr>
            <w:r>
              <w:rPr>
                <w:rFonts w:ascii="仿宋_GB2312" w:hAnsi="仿宋_GB2312" w:cs="仿宋_GB2312" w:eastAsia="仿宋_GB2312"/>
              </w:rPr>
              <w:t>3.铸铁雨箅子暂按承载等级B125级计算；</w:t>
            </w:r>
          </w:p>
          <w:p>
            <w:pPr>
              <w:pStyle w:val="null3"/>
            </w:pPr>
            <w:r>
              <w:rPr>
                <w:rFonts w:ascii="仿宋_GB2312" w:hAnsi="仿宋_GB2312" w:cs="仿宋_GB2312" w:eastAsia="仿宋_GB2312"/>
              </w:rPr>
              <w:t>4.矩形柱外包装饰板暂按GRC材质计算,</w:t>
            </w:r>
          </w:p>
          <w:p>
            <w:pPr>
              <w:pStyle w:val="null3"/>
            </w:pPr>
            <w:r>
              <w:rPr>
                <w:rFonts w:ascii="仿宋_GB2312" w:hAnsi="仿宋_GB2312" w:cs="仿宋_GB2312" w:eastAsia="仿宋_GB2312"/>
              </w:rPr>
              <w:t>5.洗手台暂按花岗岩洗手台计算；</w:t>
            </w:r>
          </w:p>
          <w:p>
            <w:pPr>
              <w:pStyle w:val="null3"/>
            </w:pPr>
            <w:r>
              <w:rPr>
                <w:rFonts w:ascii="仿宋_GB2312" w:hAnsi="仿宋_GB2312" w:cs="仿宋_GB2312" w:eastAsia="仿宋_GB2312"/>
              </w:rPr>
              <w:t>6.石材地面恢复暂按花岗岩石材面板，水泥砂浆粘结层，15cmC20砼垫层计算；</w:t>
            </w:r>
          </w:p>
          <w:p>
            <w:pPr>
              <w:pStyle w:val="null3"/>
            </w:pPr>
            <w:r>
              <w:rPr>
                <w:rFonts w:ascii="仿宋_GB2312" w:hAnsi="仿宋_GB2312" w:cs="仿宋_GB2312" w:eastAsia="仿宋_GB2312"/>
              </w:rPr>
              <w:t>四、工    期：60天</w:t>
            </w:r>
          </w:p>
          <w:p>
            <w:pPr>
              <w:pStyle w:val="null3"/>
            </w:pPr>
            <w:r>
              <w:rPr>
                <w:rFonts w:ascii="仿宋_GB2312" w:hAnsi="仿宋_GB2312" w:cs="仿宋_GB2312" w:eastAsia="仿宋_GB2312"/>
              </w:rPr>
              <w:t>五、工程质量：合  格</w:t>
            </w:r>
          </w:p>
          <w:p>
            <w:pPr>
              <w:pStyle w:val="null3"/>
            </w:pPr>
            <w:r>
              <w:rPr>
                <w:rFonts w:ascii="仿宋_GB2312" w:hAnsi="仿宋_GB2312" w:cs="仿宋_GB2312" w:eastAsia="仿宋_GB2312"/>
              </w:rPr>
              <w:t>六、计价软件： 广联达云计价平台GCCP7.0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或自然人，提供营业执照（事业单位须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供应商具有建筑工程施工总承包三级以上（含三级）资质，具有有效的安全生产许可证；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拟派项目负责人须具有建筑工程专业注册建造师二级（含二级）以上资格和安全生产考核合格B证，且无在建项目；</w:t>
            </w:r>
          </w:p>
        </w:tc>
        <w:tc>
          <w:tcPr>
            <w:tcW w:type="dxa" w:w="1661"/>
          </w:tcPr>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供应商未列入在信用中国网站“失信被执行人”、“重大税收违法案件当事人名单”中（www.creditchina.gov.cn），也未列入中国政府采购网“政府采购严重违法失信行为记录名单”中（www.ccgp.gov.cn），按照汉财办采管[2024]20号文件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磋商代表要求</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供应商应授权合法的人员参加磋商，其中法定代表人直接参加的，须出具法定代表人身份证明书及法人身份证；授权代表参加的，须出具法定代表人授权书及被授权人身份证；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磋商响应文件按照磋商文件要求的格式编写，内容无重大缺漏项。</w:t>
            </w:r>
          </w:p>
        </w:tc>
        <w:tc>
          <w:tcPr>
            <w:tcW w:type="dxa" w:w="1661"/>
          </w:tcPr>
          <w:p>
            <w:pPr>
              <w:pStyle w:val="null3"/>
            </w:pPr>
            <w:r>
              <w:rPr>
                <w:rFonts w:ascii="仿宋_GB2312" w:hAnsi="仿宋_GB2312" w:cs="仿宋_GB2312" w:eastAsia="仿宋_GB2312"/>
              </w:rPr>
              <w:t>技术方案.docx 已标价工程量清单 磋商保证金.docx 中小企业声明函 技术服务合同条款及其他商务要求应答表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技术方案.docx 已标价工程量清单 磋商保证金.docx 中小企业声明函 技术服务合同条款及其他商务要求应答表 资格证明文件.docx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磋商报价未超过招标最高限价或采购预算。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60天。</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磋商保证金符合采购文件要求。</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拟派项目经理具有高级职称的得3分；具有中级职称的得2分；具有初级职称的得1分。（须提供项目经理身份证及职称证书扫描件，未提供相关证明材料不得分。）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拟委任的项目经理情况表.docx</w:t>
            </w:r>
          </w:p>
        </w:tc>
      </w:tr>
      <w:tr>
        <w:tc>
          <w:tcPr>
            <w:tcW w:type="dxa" w:w="831"/>
            <w:vMerge/>
          </w:tcPr>
          <w:p/>
        </w:tc>
        <w:tc>
          <w:tcPr>
            <w:tcW w:type="dxa" w:w="1661"/>
          </w:tcPr>
          <w:p>
            <w:pPr>
              <w:pStyle w:val="null3"/>
            </w:pPr>
            <w:r>
              <w:rPr>
                <w:rFonts w:ascii="仿宋_GB2312" w:hAnsi="仿宋_GB2312" w:cs="仿宋_GB2312" w:eastAsia="仿宋_GB2312"/>
              </w:rPr>
              <w:t>主要技术、管理人员配置</w:t>
            </w:r>
          </w:p>
        </w:tc>
        <w:tc>
          <w:tcPr>
            <w:tcW w:type="dxa" w:w="2492"/>
          </w:tcPr>
          <w:p>
            <w:pPr>
              <w:pStyle w:val="null3"/>
            </w:pPr>
            <w:r>
              <w:rPr>
                <w:rFonts w:ascii="仿宋_GB2312" w:hAnsi="仿宋_GB2312" w:cs="仿宋_GB2312" w:eastAsia="仿宋_GB2312"/>
              </w:rPr>
              <w:t>供应商每提供1名拟派主要技术管理人员相关证明材料扫描件，得1分，满分5分；（证明材料应提供施工员、安全员、质量员、材料员、资料员的身份证、资格证书的扫描件，未提供证明材料，该人员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提供2022年至今的类似项目业绩（以中标通知书和合同为准），每提供1个得2.5分，最高得5分；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科学合理、可行性强、细节考虑全面并有针对性，技术措施完善得10-12分；施工方案合理、可行强、有一定的针对性，技术措施基本完善得7-9分；施工方案合理、基本可行、针对性一般，技术措施基本完善得4-6分；施工方案基本合理、可行性差，技术措施欠缺得1-3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质量保证措施完善、合理可行得7-9分；质量保证措施基本完善、合理可行得4-6分；质量保证措施欠缺、无法保证工程质量得1-3分；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安全文明施工保证体系与措施</w:t>
            </w:r>
          </w:p>
        </w:tc>
        <w:tc>
          <w:tcPr>
            <w:tcW w:type="dxa" w:w="2492"/>
          </w:tcPr>
          <w:p>
            <w:pPr>
              <w:pStyle w:val="null3"/>
            </w:pPr>
            <w:r>
              <w:rPr>
                <w:rFonts w:ascii="仿宋_GB2312" w:hAnsi="仿宋_GB2312" w:cs="仿宋_GB2312" w:eastAsia="仿宋_GB2312"/>
              </w:rPr>
              <w:t>安全文明施工保证体系与措施完善、合理可行得7-9分；安全文明施工保证体系与措施基本完善、合理得4-6分；安全文明施工保证体系与措施欠缺、合理性差得1-3分；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施工进度及工期保证措施</w:t>
            </w:r>
          </w:p>
        </w:tc>
        <w:tc>
          <w:tcPr>
            <w:tcW w:type="dxa" w:w="2492"/>
          </w:tcPr>
          <w:p>
            <w:pPr>
              <w:pStyle w:val="null3"/>
            </w:pPr>
            <w:r>
              <w:rPr>
                <w:rFonts w:ascii="仿宋_GB2312" w:hAnsi="仿宋_GB2312" w:cs="仿宋_GB2312" w:eastAsia="仿宋_GB2312"/>
              </w:rPr>
              <w:t>施工进度及工期保证措施完善、合理可行得7-9分；施工进度及工期保证措施基本完善、基本保证按期完工得4-6分；施工进度及工期保证措施欠缺、无法保证按期完工得1-3分；未提供不得分。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劳动力及主要施工设备配置</w:t>
            </w:r>
          </w:p>
        </w:tc>
        <w:tc>
          <w:tcPr>
            <w:tcW w:type="dxa" w:w="2492"/>
          </w:tcPr>
          <w:p>
            <w:pPr>
              <w:pStyle w:val="null3"/>
            </w:pPr>
            <w:r>
              <w:rPr>
                <w:rFonts w:ascii="仿宋_GB2312" w:hAnsi="仿宋_GB2312" w:cs="仿宋_GB2312" w:eastAsia="仿宋_GB2312"/>
              </w:rPr>
              <w:t>根据供应商提供的主要机械设备配备、劳动力配置、联动保障机制方案等，进行综合评审。 方案全面、合理、规范，可操作性强得5分； 方案相对合理和规范，有相对较强的可操作性得4分； 方案基本合理，有一定的可操作性得3分； 方案不太合理，可操作性不强得2分； 方案有缺漏，可操作性差得1分；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新技术新工艺</w:t>
            </w:r>
          </w:p>
        </w:tc>
        <w:tc>
          <w:tcPr>
            <w:tcW w:type="dxa" w:w="2492"/>
          </w:tcPr>
          <w:p>
            <w:pPr>
              <w:pStyle w:val="null3"/>
            </w:pPr>
            <w:r>
              <w:rPr>
                <w:rFonts w:ascii="仿宋_GB2312" w:hAnsi="仿宋_GB2312" w:cs="仿宋_GB2312" w:eastAsia="仿宋_GB2312"/>
              </w:rPr>
              <w:t>根据供应商提供的质量提升技术、工期缩短技术、成本降低技术、联动增效机制方案等，进行综合评审。 方案全面、合理、规范，可操作性强得5分； 方案相对合理和规范，有相对较强的可操作性得4分； 方案基本合理，有一定的可操作性得3分； 方案不太合理，可操作性不强得2分； 方案有缺漏，可操作性差得1分；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供应商针对本项目需求，提出有利于项目实施的合理化建议，每提出一条得1分，最高得3分；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以各供应商满足磋商文件要求且最后磋商报价最低的为磋商基准价，其价格分为满分。其他供应商的价格分统一按照下列公式计算： 价格分＝（磋商基准价/最后磋商报价）×35（得分保留两位小数）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详见附件：拟委任的项目经理情况表.docx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