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版本号：HYX-ZFCG-2026-汉008号20260326001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沙河中心卫生院综合业务楼（住院、门诊楼）消防改造项目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HYX-ZFCG-2026-汉008号</w:t>
      </w:r>
      <w:r>
        <w:br/>
      </w:r>
      <w:r>
        <w:br/>
      </w:r>
      <w:r>
        <w:br/>
      </w:r>
    </w:p>
    <w:p>
      <w:pPr>
        <w:pStyle w:val="null3"/>
        <w:jc w:val="center"/>
        <w:outlineLvl w:val="2"/>
      </w:pPr>
      <w:r>
        <w:rPr>
          <w:rFonts w:ascii="仿宋_GB2312" w:hAnsi="仿宋_GB2312" w:cs="仿宋_GB2312" w:eastAsia="仿宋_GB2312"/>
          <w:sz w:val="28"/>
          <w:b/>
        </w:rPr>
        <w:t>西乡县沙河中心卫生院</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西乡县沙河中心卫生院</w:t>
      </w:r>
      <w:r>
        <w:rPr>
          <w:rFonts w:ascii="仿宋_GB2312" w:hAnsi="仿宋_GB2312" w:cs="仿宋_GB2312" w:eastAsia="仿宋_GB2312"/>
        </w:rPr>
        <w:t>委托，拟对</w:t>
      </w:r>
      <w:r>
        <w:rPr>
          <w:rFonts w:ascii="仿宋_GB2312" w:hAnsi="仿宋_GB2312" w:cs="仿宋_GB2312" w:eastAsia="仿宋_GB2312"/>
        </w:rPr>
        <w:t>沙河中心卫生院综合业务楼（住院、门诊楼）消防改造项目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HYX-ZFCG-2026-汉008号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沙河中心卫生院综合业务楼（住院、门诊楼）消防改造项目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拟对西乡县沙河中心卫生院综合业务楼（住院、门诊楼）开展消防改造工程，整改后符合国家及相关行业规范、标准，保证工程顺利通过消防验收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采购包1（西乡县沙河中心卫生院综合业务楼(住院、门诊楼)消防改造项目）：属于专门面向中小企业采购。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供应商资质要求：供应商应具备建设行政部门核发的建筑工程施工总承包三级（含三级）以上资质或消防设施工程专业承包二级（含二级）以上资质，具有有效的安全生产许可证；供应商资质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4、拟派项目负责人要求：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5、拟派技术负责人要求：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6、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7、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8、其他要求：本项目不接受联合体投标，供应商需提供非联合体书面声明。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西乡县沙河中心卫生院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西乡县沙河镇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0916-6366326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陕西省汉中市汉台区七里街道办事处光辉社区C1区1幢A2层16号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0916-8880708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采购包1：1,666,414.11元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 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西乡县沙河中心卫生院</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西乡县沙河中心卫生院</w:t>
      </w:r>
      <w:r>
        <w:rPr>
          <w:rFonts w:ascii="仿宋_GB2312" w:hAnsi="仿宋_GB2312" w:cs="仿宋_GB2312" w:eastAsia="仿宋_GB2312"/>
        </w:rPr>
        <w:t>负责解释。除上述磋商文件内容，其他内容由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西乡县沙河中心卫生院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联系电话：0916-8880708</w:t>
      </w:r>
    </w:p>
    <w:p>
      <w:pPr>
        <w:pStyle w:val="null3"/>
      </w:pPr>
      <w:r>
        <w:rPr>
          <w:rFonts w:ascii="仿宋_GB2312" w:hAnsi="仿宋_GB2312" w:cs="仿宋_GB2312" w:eastAsia="仿宋_GB2312"/>
        </w:rPr>
        <w:t>地址：陕西省汉中市汉台区七里街道办事处光辉社区C1区1幢A2层16号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1,666,414.11</w:t>
      </w:r>
    </w:p>
    <w:p>
      <w:pPr>
        <w:pStyle w:val="null3"/>
      </w:pPr>
      <w:r>
        <w:rPr>
          <w:rFonts w:ascii="仿宋_GB2312" w:hAnsi="仿宋_GB2312" w:cs="仿宋_GB2312" w:eastAsia="仿宋_GB2312"/>
        </w:rPr>
        <w:t>采购包最高限价（元）: 1,666,414.11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西乡县沙河中心卫生院综合业务楼（住院及门诊楼）消防改造项目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1,666,414.11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标的名称：西乡县沙河中心卫生院综合业务楼（住院及门诊楼）消防改造项目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、工程建设地点：西乡县沙河中心卫生院内；</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、工程建设内容：本项目</w:t>
            </w:r>
            <w:r>
              <w:rPr>
                <w:rFonts w:ascii="仿宋_GB2312" w:hAnsi="仿宋_GB2312" w:cs="仿宋_GB2312" w:eastAsia="仿宋_GB2312"/>
                <w:sz w:val="21"/>
                <w:color w:val="000000"/>
              </w:rPr>
              <w:t>工程量清单、施工图纸及磋商文件所示范围全部内容及相关配套附属工程。</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、工期：50个日历天；</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2</w:t>
            </w:r>
            <w:r>
              <w:rPr>
                <w:rFonts w:ascii="仿宋_GB2312" w:hAnsi="仿宋_GB2312" w:cs="仿宋_GB2312" w:eastAsia="仿宋_GB2312"/>
                <w:sz w:val="21"/>
                <w:color w:val="000000"/>
              </w:rPr>
              <w:t>年；</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、缺陷责任期：</w:t>
            </w:r>
            <w:r>
              <w:rPr>
                <w:rFonts w:ascii="仿宋_GB2312" w:hAnsi="仿宋_GB2312" w:cs="仿宋_GB2312" w:eastAsia="仿宋_GB2312"/>
                <w:sz w:val="21"/>
                <w:color w:val="000000"/>
              </w:rPr>
              <w:t>2</w:t>
            </w:r>
            <w:r>
              <w:rPr>
                <w:rFonts w:ascii="仿宋_GB2312" w:hAnsi="仿宋_GB2312" w:cs="仿宋_GB2312" w:eastAsia="仿宋_GB2312"/>
                <w:sz w:val="21"/>
                <w:color w:val="000000"/>
              </w:rPr>
              <w:t>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施工规范及要求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）本工程的施工过程和成果必须符合国家有关工程建设标准强制性条文和国家或有关部门关于 工程施工方面现行的标准、规范、规程、定额、办法、示例，以及陕西省关于工程施工方面的文件 、规定，同时满足中华人民共和国住建部发布的《工程建设标准强制性条文》的规定，供应商施工选用的设备及投入本项目的材料及施工必须符合最新版本的国家标准、规范；达到现行中华人民共和国及省、市、行业的一切有关法规、规范的要求，如标准及规范要求有出入，未能达到国家最新标准，则以较严格者为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）采购人提供工程的施工方案和相关技术文件，是采购人现有的能被供应商利用的资料，采购人对供应商做出的任何推论、理解均不负责任。</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）施工过程中，所有材料必须在检验合格经采购人同意后，方可用于本工程。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供应商应先到工程地点踏勘以充分了解工地位置、地质情况、进出场道路、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隐蔽工程必须经采购人检查、验收后，方可进行下一道工序，每道工序都应严格按图纸设计要求进行施工，偏差控制在技术规范内，遇到疑难问题应及时反馈，如有变更应作出书面报告，待批复后才能施工，不得自行更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）供应商取得验收手续后，及时通知采购人验收，并按采购人的要求提交竣工验收申请报告及竣工资料，采购人应及时组织验收，并在验收后</w:t>
            </w:r>
            <w:r>
              <w:rPr>
                <w:rFonts w:ascii="仿宋_GB2312" w:hAnsi="仿宋_GB2312" w:cs="仿宋_GB2312" w:eastAsia="仿宋_GB2312"/>
                <w:sz w:val="21"/>
                <w:color w:val="000000"/>
              </w:rPr>
              <w:t>10</w:t>
            </w:r>
            <w:r>
              <w:rPr>
                <w:rFonts w:ascii="仿宋_GB2312" w:hAnsi="仿宋_GB2312" w:cs="仿宋_GB2312" w:eastAsia="仿宋_GB2312"/>
                <w:sz w:val="21"/>
                <w:color w:val="000000"/>
              </w:rPr>
              <w:t>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）在免费质量保修期内，成交供应商对有缺陷的部位必须无偿地给予修理与更换，并承担一切由此引起的对采购人或第三者的直接损失，除非该缺陷是由于人为破坏或合同规定的不可抗因素造成的损坏。</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）成交供应商未经采购人及有关部门同意，不得擅自变更本项目在招标过程承诺中认定的采购 范围、实施组织方案和项目负责人（响应文件中应明确项目经理的姓名及联系方法，以备检查）。</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）成交供应商必须自行施工，不得转包、分包。</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）现场垃圾清运、治污减霾工作由成交供应商全权负责，做好项目的扬尘防治工作及垃圾清运工作。</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工程管理要求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质量保修期及质量验收标准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）质量保修期：本工程质量保修期 </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年，工程竣工验收合格之日起计算。</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）质量验收标准</w:t>
            </w:r>
          </w:p>
          <w:p>
            <w:pPr>
              <w:pStyle w:val="null3"/>
              <w:jc w:val="left"/>
            </w:pPr>
            <w:r>
              <w:rPr>
                <w:rFonts w:ascii="仿宋_GB2312" w:hAnsi="仿宋_GB2312" w:cs="仿宋_GB2312" w:eastAsia="仿宋_GB2312"/>
                <w:sz w:val="21"/>
                <w:color w:val="000000"/>
              </w:rPr>
              <w:t>①</w:t>
            </w:r>
            <w:r>
              <w:rPr>
                <w:rFonts w:ascii="仿宋_GB2312" w:hAnsi="仿宋_GB2312" w:cs="仿宋_GB2312" w:eastAsia="仿宋_GB2312"/>
                <w:sz w:val="21"/>
                <w:color w:val="000000"/>
              </w:rPr>
              <w:t>所含分部工程的质量均应验收合格；</w:t>
            </w:r>
          </w:p>
          <w:p>
            <w:pPr>
              <w:pStyle w:val="null3"/>
              <w:jc w:val="left"/>
            </w:pPr>
            <w:r>
              <w:rPr>
                <w:rFonts w:ascii="仿宋_GB2312" w:hAnsi="仿宋_GB2312" w:cs="仿宋_GB2312" w:eastAsia="仿宋_GB2312"/>
                <w:sz w:val="21"/>
                <w:color w:val="000000"/>
              </w:rPr>
              <w:t>②</w:t>
            </w:r>
            <w:r>
              <w:rPr>
                <w:rFonts w:ascii="仿宋_GB2312" w:hAnsi="仿宋_GB2312" w:cs="仿宋_GB2312" w:eastAsia="仿宋_GB2312"/>
                <w:sz w:val="21"/>
                <w:color w:val="000000"/>
              </w:rPr>
              <w:t>质量控制资料应完整；</w:t>
            </w:r>
          </w:p>
          <w:p>
            <w:pPr>
              <w:pStyle w:val="null3"/>
              <w:jc w:val="left"/>
            </w:pPr>
            <w:r>
              <w:rPr>
                <w:rFonts w:ascii="仿宋_GB2312" w:hAnsi="仿宋_GB2312" w:cs="仿宋_GB2312" w:eastAsia="仿宋_GB2312"/>
                <w:sz w:val="21"/>
                <w:color w:val="000000"/>
              </w:rPr>
              <w:t>③</w:t>
            </w:r>
            <w:r>
              <w:rPr>
                <w:rFonts w:ascii="仿宋_GB2312" w:hAnsi="仿宋_GB2312" w:cs="仿宋_GB2312" w:eastAsia="仿宋_GB2312"/>
                <w:sz w:val="21"/>
                <w:color w:val="000000"/>
              </w:rPr>
              <w:t>所含工程中有关安全、节能、环境保护和主要使用功能的检验资料应完整；</w:t>
            </w:r>
          </w:p>
          <w:p>
            <w:pPr>
              <w:pStyle w:val="null3"/>
              <w:jc w:val="left"/>
            </w:pPr>
            <w:r>
              <w:rPr>
                <w:rFonts w:ascii="仿宋_GB2312" w:hAnsi="仿宋_GB2312" w:cs="仿宋_GB2312" w:eastAsia="仿宋_GB2312"/>
                <w:sz w:val="21"/>
                <w:color w:val="000000"/>
              </w:rPr>
              <w:t>④</w:t>
            </w:r>
            <w:r>
              <w:rPr>
                <w:rFonts w:ascii="仿宋_GB2312" w:hAnsi="仿宋_GB2312" w:cs="仿宋_GB2312" w:eastAsia="仿宋_GB2312"/>
                <w:sz w:val="21"/>
                <w:color w:val="000000"/>
              </w:rPr>
              <w:t>有关安全、节能、环境保护和主要使用功能的抽样检验结果应符合相应规定；</w:t>
            </w:r>
          </w:p>
          <w:p>
            <w:pPr>
              <w:pStyle w:val="null3"/>
              <w:jc w:val="left"/>
            </w:pPr>
            <w:r>
              <w:rPr>
                <w:rFonts w:ascii="仿宋_GB2312" w:hAnsi="仿宋_GB2312" w:cs="仿宋_GB2312" w:eastAsia="仿宋_GB2312"/>
                <w:sz w:val="21"/>
                <w:color w:val="000000"/>
              </w:rPr>
              <w:t>⑤</w:t>
            </w:r>
            <w:r>
              <w:rPr>
                <w:rFonts w:ascii="仿宋_GB2312" w:hAnsi="仿宋_GB2312" w:cs="仿宋_GB2312" w:eastAsia="仿宋_GB2312"/>
                <w:sz w:val="21"/>
                <w:color w:val="000000"/>
              </w:rPr>
              <w:t>主要使用功能的抽查结果应符合相关专业验收规范的规定；</w:t>
            </w:r>
          </w:p>
          <w:p>
            <w:pPr>
              <w:pStyle w:val="null3"/>
            </w:pPr>
            <w:r>
              <w:rPr>
                <w:rFonts w:ascii="仿宋_GB2312" w:hAnsi="仿宋_GB2312" w:cs="仿宋_GB2312" w:eastAsia="仿宋_GB2312"/>
                <w:sz w:val="21"/>
                <w:color w:val="000000"/>
              </w:rPr>
              <w:t>⑥</w:t>
            </w:r>
            <w:r>
              <w:rPr>
                <w:rFonts w:ascii="仿宋_GB2312" w:hAnsi="仿宋_GB2312" w:cs="仿宋_GB2312" w:eastAsia="仿宋_GB2312"/>
                <w:sz w:val="21"/>
                <w:color w:val="000000"/>
              </w:rPr>
              <w:t>现行的国家标准或国家行政部门颁布的法律法规、规章制度，没有国家标准的，可以参考行业标准。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支付方式：本项目使用资金为采购人经营性医疗收入，资金紧张，经上级主管部门批准后，采用分期付款形式，每年支付部分款项，共计三年内结清工程款项；无开工预付款项，供应商需保证自身资金充足，能够保障项目施工全过程的资金周转，确保工程顺利推进、按期交付；</w:t>
            </w:r>
            <w:r>
              <w:br/>
            </w:r>
            <w:r>
              <w:rPr>
                <w:rFonts w:ascii="仿宋_GB2312" w:hAnsi="仿宋_GB2312" w:cs="仿宋_GB2312" w:eastAsia="仿宋_GB2312"/>
                <w:sz w:val="21"/>
                <w:b/>
              </w:rPr>
              <w:t xml:space="preserve"> 2、最终工程造价确定方式：以具有审计资质的第三方评审机构出具的审计报告为准；</w:t>
            </w:r>
            <w:r>
              <w:br/>
            </w:r>
            <w:r>
              <w:rPr>
                <w:rFonts w:ascii="仿宋_GB2312" w:hAnsi="仿宋_GB2312" w:cs="仿宋_GB2312" w:eastAsia="仿宋_GB2312"/>
                <w:sz w:val="21"/>
                <w:b/>
              </w:rPr>
              <w:t xml:space="preserve"> 3、安全责任：供应商作为施工主体，对施工现场的安全生产负主要责任。需严格遵守国家及地方安全生产相关法律法规、行业规范，建立健全施工现场安全管理制度，配备专职安全员及必要的安全防护设施（如安全帽、安全带、防护网等）；施工前需对作业人员进行安全培训及技术交底，施工过程中严格落实安全操作规程，及时排查并消除安全隐患，杜绝违章作业、冒险施工。若因供应商管理不善、操作不当等原因引发安全事故，由供应商承担全部责任（包括但不限于人员伤亡赔偿、财产损失修复、行政处罚等。</w:t>
            </w:r>
            <w:r>
              <w:br/>
            </w:r>
            <w:r>
              <w:rPr>
                <w:rFonts w:ascii="仿宋_GB2312" w:hAnsi="仿宋_GB2312" w:cs="仿宋_GB2312" w:eastAsia="仿宋_GB2312"/>
                <w:sz w:val="21"/>
                <w:b/>
              </w:rPr>
              <w:t xml:space="preserve"> 4、验收：如最终整改工程未通过消防验收，</w:t>
            </w:r>
            <w:r>
              <w:rPr>
                <w:rFonts w:ascii="仿宋_GB2312" w:hAnsi="仿宋_GB2312" w:cs="仿宋_GB2312" w:eastAsia="仿宋_GB2312"/>
                <w:sz w:val="21"/>
                <w:b/>
              </w:rPr>
              <w:t>供应商应无条件配合采购人进行后续整改，且全部整改费用由供应商自行承担，直至工程通过消防验收。若供应商无正当理由拒绝配合整改，供应商无权要求采购人支付任何工程价款，且应自采购人发出书面通知之日起 7 个工作日内，无条件退还采购人已支付的全部合同款项。同时，供应商需自行承担已完工工程的拆除、清运、场地复原等全部工作及相关费用，将场地恢复至合同约定标准。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工程质量需达到国家强制性合格标准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工程管理要求 （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 （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技术服务合同条款及其他商务要求应答表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技术服务合同条款及其他商务要求应答表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技术服务合同条款及其他商务要求应答表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以上资质或消防设施工程专业承包二级（含二级）以上资质，具有有效的安全生产许可证；供应商资质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拟派技术负责人要求</w:t>
            </w:r>
          </w:p>
        </w:tc>
        <w:tc>
          <w:tcPr>
            <w:tcW w:type="dxa" w:w="3322"/>
          </w:tcPr>
          <w:p>
            <w:pPr>
              <w:pStyle w:val="null3"/>
            </w:pPr>
            <w:r>
              <w:rPr>
                <w:rFonts w:ascii="仿宋_GB2312" w:hAnsi="仿宋_GB2312" w:cs="仿宋_GB2312" w:eastAsia="仿宋_GB2312"/>
              </w:rPr>
              <w:t>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 技术服务合同条款及其他商务要求应答表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响应文件是否按招标文件要求签署、盖章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报价函 技术服务合同条款及其他商务要求应答表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供应商提供2023年1月1日以来完成的类似项目业绩，每提供一个得2.5分，最高得5分。（提供完整的合同协议书原件或加盖公章的复印件）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拟派项目负责人职称</w:t>
            </w:r>
          </w:p>
        </w:tc>
        <w:tc>
          <w:tcPr>
            <w:tcW w:type="dxa" w:w="2492"/>
          </w:tcPr>
          <w:p>
            <w:pPr>
              <w:pStyle w:val="null3"/>
            </w:pPr>
            <w:r>
              <w:rPr>
                <w:rFonts w:ascii="仿宋_GB2312" w:hAnsi="仿宋_GB2312" w:cs="仿宋_GB2312" w:eastAsia="仿宋_GB2312"/>
              </w:rPr>
              <w:t>拟派项目负责人具有中级及以上职称（建筑工程相关专业） 具有中级职称，得2分；具有高级职称，得3分；中级以下或未提供均不得分。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拟派技术负责人职称</w:t>
            </w:r>
          </w:p>
        </w:tc>
        <w:tc>
          <w:tcPr>
            <w:tcW w:type="dxa" w:w="2492"/>
          </w:tcPr>
          <w:p>
            <w:pPr>
              <w:pStyle w:val="null3"/>
            </w:pPr>
            <w:r>
              <w:rPr>
                <w:rFonts w:ascii="仿宋_GB2312" w:hAnsi="仿宋_GB2312" w:cs="仿宋_GB2312" w:eastAsia="仿宋_GB2312"/>
              </w:rPr>
              <w:t>拟派技术负责人具有中级及以上职称（建筑工程相关专业）。 中级职称，得2分；具有高级职称，得3分；中级以下或未提供均不得分。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提供施工员、安全员、质量员、资料员、材料员的，每有一个得1分，最多得5分。注：上述人员均需具有专业执业证书证件，否则不得分，且同类人员只计算一次。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应包含：①对项目总体概况表述；②施工部署及措施；③对项目主要及关键方案的表述；④施工平面布置。方案合理完善的计8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供应商针对本项目制定的质量保证措施应包含：①质量管理目标；②管理机构职责分工；③质量管理制度；④质量保证措施。方案合理完善的计8分，若上述内容存在缺陷，每出现一处缺陷扣1分，扣完为止。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制定的安全保证措施应包含：①安全管理目标；②安全管理机构职责分工；③安全管理制度；④安全保证措施。方案全面、有效的计8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针对本项目制定的工程进度保证措施应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 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供应商针对本项目制定的合理化建议。方案合理完整、可行的计3分，若上述内容存在缺陷，每出现一处缺陷扣1分，扣完为止。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农民工资支付保障措施</w:t>
            </w:r>
          </w:p>
        </w:tc>
        <w:tc>
          <w:tcPr>
            <w:tcW w:type="dxa" w:w="2492"/>
          </w:tcPr>
          <w:p>
            <w:pPr>
              <w:pStyle w:val="null3"/>
            </w:pPr>
            <w:r>
              <w:rPr>
                <w:rFonts w:ascii="仿宋_GB2312" w:hAnsi="仿宋_GB2312" w:cs="仿宋_GB2312" w:eastAsia="仿宋_GB2312"/>
              </w:rPr>
              <w:t>供应商针对本项目制定的农民工工资支付保障措施应包含：①工资支付管理目标；②工资支付管理制度（含考勤核算、支付流程、台账管理等）；③工资保障具体措施（含工资保证金缴纳、实名制管理、分账支付、应急处置等）。方案全面、有效的计6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噪音和扬尘控制治理措施</w:t>
            </w:r>
          </w:p>
        </w:tc>
        <w:tc>
          <w:tcPr>
            <w:tcW w:type="dxa" w:w="2492"/>
          </w:tcPr>
          <w:p>
            <w:pPr>
              <w:pStyle w:val="null3"/>
            </w:pPr>
            <w:r>
              <w:rPr>
                <w:rFonts w:ascii="仿宋_GB2312" w:hAnsi="仿宋_GB2312" w:cs="仿宋_GB2312" w:eastAsia="仿宋_GB2312"/>
              </w:rPr>
              <w:t>供应商针对本医院项目制定的噪音与扬尘控制治理措施应包含：①噪音与扬尘控制管理机构及职责分工；②噪音与扬尘控制管理制度（含监测、巡查、报备、整改等）；③噪音与扬尘控制具体措施（需结合医院场地特点设计针对性管控手段）。方案全面、有效的计 6分，若上述内容存在缺陷，每出现一处缺陷扣1分，扣完为止。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针对对本项目提供的服务承诺，包含：①、拟投入的材料应符合国家及相关行业规范、标准的承诺；②、质量保修期服务承诺；③资金履约保障承诺（需承诺资金链稳定，不因资金问题影响施工进度及三年分期支付期间的服务连续性）；每提供一个承诺计1分，最多得3分，重复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供应商针对项目制定的应急保障措施应包含：①应急管理机构及职责分工；②应急管理制度；③专项应急保障措施。方案全面、有效的计6分，若上述内容存在缺陷，每出现一处缺陷扣1分，扣完为止。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价格分采用低价优先法得算，即满足招标文件要求且投标报价最低的报价为评标基准价，其价格分为满分。其他投标人的价格分统一按照下列公式得算：报价得分=(评标基准价／投标报价)×30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