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版本号：ZCBN-西乡县-2026-0004020260305001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西乡县2026年城镇老旧小区配套基础设施改造及房屋功能改善项目工程设计服务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ZCBN-西乡县-2026-00040</w:t>
      </w:r>
      <w:r>
        <w:br/>
      </w:r>
      <w:r>
        <w:br/>
      </w:r>
      <w:r>
        <w:br/>
      </w:r>
    </w:p>
    <w:p>
      <w:pPr>
        <w:pStyle w:val="null3"/>
        <w:jc w:val="center"/>
        <w:outlineLvl w:val="2"/>
      </w:pPr>
      <w:r>
        <w:rPr>
          <w:rFonts w:ascii="仿宋_GB2312" w:hAnsi="仿宋_GB2312" w:cs="仿宋_GB2312" w:eastAsia="仿宋_GB2312"/>
          <w:sz w:val="28"/>
          <w:b/>
        </w:rPr>
        <w:t>西乡县住房和城乡建设管理局</w:t>
      </w:r>
    </w:p>
    <w:p>
      <w:pPr>
        <w:pStyle w:val="null3"/>
        <w:jc w:val="center"/>
        <w:outlineLvl w:val="2"/>
      </w:pPr>
      <w:r>
        <w:rPr>
          <w:rFonts w:ascii="仿宋_GB2312" w:hAnsi="仿宋_GB2312" w:cs="仿宋_GB2312" w:eastAsia="仿宋_GB2312"/>
          <w:sz w:val="28"/>
          <w:b/>
        </w:rPr>
        <w:t>陕西楚邦阳益项目管理有限公司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陕西楚邦阳益项目管理有限公司</w:t>
      </w:r>
      <w:r>
        <w:rPr>
          <w:rFonts w:ascii="仿宋_GB2312" w:hAnsi="仿宋_GB2312" w:cs="仿宋_GB2312" w:eastAsia="仿宋_GB2312"/>
        </w:rPr>
        <w:t>（以下简称“代理机构”）受</w:t>
      </w:r>
      <w:r>
        <w:rPr>
          <w:rFonts w:ascii="仿宋_GB2312" w:hAnsi="仿宋_GB2312" w:cs="仿宋_GB2312" w:eastAsia="仿宋_GB2312"/>
        </w:rPr>
        <w:t>西乡县住房和城乡建设管理局</w:t>
      </w:r>
      <w:r>
        <w:rPr>
          <w:rFonts w:ascii="仿宋_GB2312" w:hAnsi="仿宋_GB2312" w:cs="仿宋_GB2312" w:eastAsia="仿宋_GB2312"/>
        </w:rPr>
        <w:t>委托，拟对</w:t>
      </w:r>
      <w:r>
        <w:rPr>
          <w:rFonts w:ascii="仿宋_GB2312" w:hAnsi="仿宋_GB2312" w:cs="仿宋_GB2312" w:eastAsia="仿宋_GB2312"/>
        </w:rPr>
        <w:t>西乡县2026年城镇老旧小区配套基础设施改造及房屋功能改善项目工程设计服务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ZCBN-西乡县-2026-00040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西乡县2026年城镇老旧小区配套基础设施改造及房屋功能改善项目工程设计服务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主要内容包括康宁二期、酒厂家属楼、北后街公安局家属楼、站前广场小区、庆华城北小区、城北小区建行西乡支行家属楼、城北小区2号安居工程、城北小区7号楼卫生局家属楼、旅游局家属楼、罗氏烧烤商住楼、老土产公司家属楼、煤建公司家属楼、结友建司、合行家属楼、秦龙建筑公司家属楼、金牛小区8号楼(西乡三中旁)、法院家属楼、教研室家属楼、工商局家属楼、工商所家属楼、城建局家属楼、粮食局家属楼、解困楼家属楼、禹王宫商品楼、老县委家属楼、南城河砍商品楼、老政府家属楼共27个小区或家属楼的小区配套基础设施改造及房屋功能改善项目的工程设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采购包1（西乡县2026年城镇老旧小区配套基础设施改造及房屋功能改善项目工程设计服务）：属于专门面向中小企业采购。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行业资质：供应商须具备【工程设计综合资质甲级】或【建筑行业设计乙级及以上】或【建筑行业（建筑工程）专业设计乙级】及以上资质，并在人员、设备、资金等方面具备相应的设计能力。拟派项目负责人须具备【二级注册建筑师】及以上执业资格；</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5、联合响应及无关联关系：本次采购不接受联合体响应，单位负责人为同一人或者存在控股、管理关系的不同单位，不得参加同一项目的响应。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陕西省西乡县金牛路31号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西乡县住房和城乡建设管理局经办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13399167007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陕西楚邦阳益项目管理有限公司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陕西省汉中市汉台区陕西省汉中市汉台区七里街道办事处东一环路奥翔智慧大厦1103号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0916-8812018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开户名称：陕西楚邦阳益项目管理有限公司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银行账号：2606055209100076821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代理服务费收费标准：按国家计委关于印发《招标代理服务收费管理暂行办法》的通知（计价 格[2002]1980号）号文的有关标准收取，由成交供应商在领取成交通知书前向采购代理机构一 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西乡县住房和城乡建设管理局</w:t>
      </w:r>
      <w:r>
        <w:rPr>
          <w:rFonts w:ascii="仿宋_GB2312" w:hAnsi="仿宋_GB2312" w:cs="仿宋_GB2312" w:eastAsia="仿宋_GB2312"/>
        </w:rPr>
        <w:t>和</w:t>
      </w:r>
      <w:r>
        <w:rPr>
          <w:rFonts w:ascii="仿宋_GB2312" w:hAnsi="仿宋_GB2312" w:cs="仿宋_GB2312" w:eastAsia="仿宋_GB2312"/>
        </w:rPr>
        <w:t>陕西楚邦阳益项目管理有限公司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陕西楚邦阳益项目管理有限公司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陕西楚邦阳益项目管理有限公司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联系人：赵先生</w:t>
      </w:r>
    </w:p>
    <w:p>
      <w:pPr>
        <w:pStyle w:val="null3"/>
      </w:pPr>
      <w:r>
        <w:rPr>
          <w:rFonts w:ascii="仿宋_GB2312" w:hAnsi="仿宋_GB2312" w:cs="仿宋_GB2312" w:eastAsia="仿宋_GB2312"/>
        </w:rPr>
        <w:t>联系电话：0916-8812018</w:t>
      </w:r>
    </w:p>
    <w:p>
      <w:pPr>
        <w:pStyle w:val="null3"/>
      </w:pPr>
      <w:r>
        <w:rPr>
          <w:rFonts w:ascii="仿宋_GB2312" w:hAnsi="仿宋_GB2312" w:cs="仿宋_GB2312" w:eastAsia="仿宋_GB2312"/>
        </w:rPr>
        <w:t>地址：陕西省汉中市汉台区七里街道办事处东一环路奥翔智慧大厦1103号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建设主要内容包括康宁二期、酒厂家属楼、北后街公安局家属楼、站前广场小区、庆华城北小区、城北小区建行西乡支行家属楼、城北小区2号安居工程、城北小区7号楼卫生局家属楼、旅游局家属楼、罗氏烧烤商住楼、老土产公司家属楼、煤建公司家属楼、结友建司、合行家属楼、秦龙建筑公司家属楼、金牛小区8号楼(西乡三中旁)、法院家属楼、教研室家属楼、工商局家属楼、工商所家属楼、城建局家属楼、粮食局家属楼、解困楼家属楼、禹王宫商品楼、老县委家属楼、南城河砍商品楼、老政府家属楼共27个小区或家属楼的小区配套基础设施改造及房屋功能改善项目的工程设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675,800.00</w:t>
      </w:r>
    </w:p>
    <w:p>
      <w:pPr>
        <w:pStyle w:val="null3"/>
      </w:pPr>
      <w:r>
        <w:rPr>
          <w:rFonts w:ascii="仿宋_GB2312" w:hAnsi="仿宋_GB2312" w:cs="仿宋_GB2312" w:eastAsia="仿宋_GB2312"/>
        </w:rPr>
        <w:t>采购包最高限价（元）: 675,800.00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西乡县2026年城镇老旧小区配套基础设施改造及房屋功能改善项目工程设计服务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675,800.00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标的名称：西乡县2026年城镇老旧小区配套基础设施改造及房屋功能改善项目工程设计服务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1、项目概况</w:t>
            </w:r>
          </w:p>
          <w:p>
            <w:pPr>
              <w:pStyle w:val="null3"/>
            </w:pPr>
            <w:r>
              <w:rPr>
                <w:rFonts w:ascii="仿宋_GB2312" w:hAnsi="仿宋_GB2312" w:cs="仿宋_GB2312" w:eastAsia="仿宋_GB2312"/>
                <w:color w:val="000000"/>
              </w:rPr>
              <w:t>建设规模及内容</w:t>
            </w:r>
            <w:r>
              <w:rPr>
                <w:rFonts w:ascii="仿宋_GB2312" w:hAnsi="仿宋_GB2312" w:cs="仿宋_GB2312" w:eastAsia="仿宋_GB2312"/>
                <w:color w:val="000000"/>
              </w:rPr>
              <w:t>:项目位于西乡县城北街道办事处，涉及27个小区、45栋家属楼977户，住宅建筑面积约10.34万平方米，附属设施面积约1.09万平方米。主要改造内容为小区内道路、绿化、给排水、强弱电、消防、安防、停车位、活动场地等基础配套设施以及小区房屋主体外墙粉刷、屋面防水、建筑物内部公共部位的墙面、地面、楼梯扶手、照明、等设施改造。</w:t>
            </w:r>
          </w:p>
          <w:p>
            <w:pPr>
              <w:pStyle w:val="null3"/>
            </w:pPr>
            <w:r>
              <w:rPr>
                <w:rFonts w:ascii="仿宋_GB2312" w:hAnsi="仿宋_GB2312" w:cs="仿宋_GB2312" w:eastAsia="仿宋_GB2312"/>
                <w:color w:val="000000"/>
              </w:rPr>
              <w:t>2、设计内容</w:t>
            </w:r>
          </w:p>
          <w:p>
            <w:pPr>
              <w:pStyle w:val="null3"/>
              <w:ind w:firstLine="400"/>
            </w:pPr>
            <w:r>
              <w:rPr>
                <w:rFonts w:ascii="仿宋_GB2312" w:hAnsi="仿宋_GB2312" w:cs="仿宋_GB2312" w:eastAsia="仿宋_GB2312"/>
                <w:color w:val="000000"/>
              </w:rPr>
              <w:t>本项目建设主要内容包括康宁二期、酒厂家属楼、北后街公安局家属楼、站前广场小区、庆华城北小区、城北小区建行西乡支行家属楼、城北小区</w:t>
            </w:r>
            <w:r>
              <w:rPr>
                <w:rFonts w:ascii="仿宋_GB2312" w:hAnsi="仿宋_GB2312" w:cs="仿宋_GB2312" w:eastAsia="仿宋_GB2312"/>
                <w:color w:val="000000"/>
              </w:rPr>
              <w:t>2号安居工程、城北小区7号楼卫生局家属楼、旅游局家属楼、罗氏烧烤商住楼、老土产公司家属楼、煤建公司家属楼、结友建司、合行家属楼、秦龙建筑公司家属楼、金牛小区8号楼(西乡三中旁)、法院家属楼、教研室家属楼、工商局家属楼、工商所家属楼、城建局家属楼、粮食局家属楼、解困楼家属楼、禹王宫商品楼、老县委家属楼、南城河砍商品楼、老政府家属楼共27个小区或家属楼的小区配套基础设施改造及房屋功能改善项目的工程设计服务。</w:t>
            </w:r>
          </w:p>
          <w:p>
            <w:pPr>
              <w:pStyle w:val="null3"/>
            </w:pPr>
            <w:r>
              <w:rPr>
                <w:rFonts w:ascii="仿宋_GB2312" w:hAnsi="仿宋_GB2312" w:cs="仿宋_GB2312" w:eastAsia="仿宋_GB2312"/>
                <w:color w:val="000000"/>
              </w:rPr>
              <w:t>3</w:t>
            </w:r>
            <w:r>
              <w:rPr>
                <w:rFonts w:ascii="仿宋_GB2312" w:hAnsi="仿宋_GB2312" w:cs="仿宋_GB2312" w:eastAsia="仿宋_GB2312"/>
                <w:color w:val="000000"/>
              </w:rPr>
              <w:t>、设计范围</w:t>
            </w:r>
          </w:p>
          <w:p>
            <w:pPr>
              <w:pStyle w:val="null3"/>
            </w:pPr>
            <w:r>
              <w:rPr>
                <w:rFonts w:ascii="仿宋_GB2312" w:hAnsi="仿宋_GB2312" w:cs="仿宋_GB2312" w:eastAsia="仿宋_GB2312"/>
                <w:color w:val="000000"/>
              </w:rPr>
              <w:t>设计范围包括小区房屋主体外立面、楼梯间、强弱电改造、屋面提升改造及室外道路硬化、绿化、给排水等基础配套设施提升改造。</w:t>
            </w:r>
          </w:p>
          <w:p>
            <w:pPr>
              <w:pStyle w:val="null3"/>
            </w:pPr>
            <w:r>
              <w:rPr>
                <w:rFonts w:ascii="仿宋_GB2312" w:hAnsi="仿宋_GB2312" w:cs="仿宋_GB2312" w:eastAsia="仿宋_GB2312"/>
                <w:color w:val="000000"/>
              </w:rPr>
              <w:t>4、设计成果</w:t>
            </w:r>
          </w:p>
          <w:p>
            <w:pPr>
              <w:pStyle w:val="null3"/>
            </w:pPr>
            <w:r>
              <w:rPr>
                <w:rFonts w:ascii="仿宋_GB2312" w:hAnsi="仿宋_GB2312" w:cs="仿宋_GB2312" w:eastAsia="仿宋_GB2312"/>
                <w:color w:val="000000"/>
              </w:rPr>
              <w:t>所有设计内容均需通过相关部门审批或审查。设计工作均要达到国家或行业现行强制性设计规范“合格"标准，满足现场施工、竣工验收要求并根据采购人需要提供施工图设计等相关成果文件。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设计方案合格</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质量达到相关行业合格标准并提交项目设计成果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合同签订10日后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施工图交付后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工程竣工验收完成后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特殊资格审查.docx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特殊资格审查.docx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供应商须具备【工程设计综合资质甲级】或【建筑行业设计乙级及以上】或【建筑行业（建筑工程）专业设计乙级】及以上资质，并在人员、设备、资金等方面具备相应的设计能力。拟派项目负责人须具备【二级注册建筑师】及以上执业资格；</w:t>
            </w:r>
          </w:p>
        </w:tc>
        <w:tc>
          <w:tcPr>
            <w:tcW w:type="dxa" w:w="1661"/>
          </w:tcPr>
          <w:p>
            <w:pPr>
              <w:pStyle w:val="null3"/>
            </w:pPr>
            <w:r>
              <w:rPr>
                <w:rFonts w:ascii="仿宋_GB2312" w:hAnsi="仿宋_GB2312" w:cs="仿宋_GB2312" w:eastAsia="仿宋_GB2312"/>
              </w:rPr>
              <w:t>特殊资格审查.docx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特殊资格审查.docx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联合响应及无关联关系</w:t>
            </w:r>
          </w:p>
        </w:tc>
        <w:tc>
          <w:tcPr>
            <w:tcW w:type="dxa" w:w="3322"/>
          </w:tcPr>
          <w:p>
            <w:pPr>
              <w:pStyle w:val="null3"/>
            </w:pPr>
            <w:r>
              <w:rPr>
                <w:rFonts w:ascii="仿宋_GB2312" w:hAnsi="仿宋_GB2312" w:cs="仿宋_GB2312" w:eastAsia="仿宋_GB2312"/>
              </w:rPr>
              <w:t>本次采购不接受联合体响应，单位负责人为同一人或者存在控股、管理关系的不同单位，不得参加同一项目的响应。</w:t>
            </w:r>
          </w:p>
        </w:tc>
        <w:tc>
          <w:tcPr>
            <w:tcW w:type="dxa" w:w="1661"/>
          </w:tcPr>
          <w:p>
            <w:pPr>
              <w:pStyle w:val="null3"/>
            </w:pPr>
            <w:r>
              <w:rPr>
                <w:rFonts w:ascii="仿宋_GB2312" w:hAnsi="仿宋_GB2312" w:cs="仿宋_GB2312" w:eastAsia="仿宋_GB2312"/>
              </w:rPr>
              <w:t>特殊资格审查.docx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w:t>
            </w:r>
          </w:p>
        </w:tc>
        <w:tc>
          <w:tcPr>
            <w:tcW w:type="dxa" w:w="1661"/>
          </w:tcPr>
          <w:p>
            <w:pPr>
              <w:pStyle w:val="null3"/>
            </w:pPr>
            <w:r>
              <w:rPr>
                <w:rFonts w:ascii="仿宋_GB2312" w:hAnsi="仿宋_GB2312" w:cs="仿宋_GB2312" w:eastAsia="仿宋_GB2312"/>
              </w:rPr>
              <w:t>响应文件封面 类似项目业绩情况表.docx 服务内容及服务邀请应答表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项目整体设计方案工作思路明确②设计依据符合规范③项目重点、难点把控④设计内容科学合理。评审标准：以上内容全面详细、目标明确、科学合理且完全符合本项目采购要求得20分。评审内容缺每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时间进度安排计划②工作流程③进度保障措施。评审标准：以上方案内容全面详细、目标明确、科学合理且完全符合本项目采购要求得18分。评审内容每缺一项扣6分,评审内容有缺陷（缺陷指内容明显错误、描述过于简单、与项目特点不匹配、凭空编造、逻辑漏洞、出现常识性错误或不适用本项目特性等）的扣3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评审标准：以上内容全面详细、阐述条理清晰详尽、可行性强且符合本项目采购需求得12分。评审内容每缺一项扣6分,评审内容有缺陷（缺陷指内容明显错误、描述过于简单、与项目特点不匹配、凭空编造、逻辑漏洞、出现常识性错误或不适用本项目特性等)的扣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部管理制度②日常工作制度③人员培训制度④岗位职责⑤操作规程。评审标准：以上内容全面详细、阐述条理清晰详尽、可行性强且符合本项目需求得15分。评审内容每缺一项扣3分,评审内容有缺陷（缺陷指内容明显错误、描述过于简单、与项目特点不匹配、凭空编造、逻辑漏洞、出现常识性错误或不适用本项目特性等）的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评审内容：①对本项目的合理化建议具有科学性、前瞻性、地域性、可行性②承诺接受采购人对服务的考核、监督及管理以及采购人对服务质量的满意度并加以改进，确保服务工作的优质高效。评审标准：以上内容全面详细、计划安排合理、逻辑清晰、可行性强得10分。评审内容每缺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1.提供团队人员情况信息表（表内至少包括姓名、性别、年龄、学历、分工安排）及框架结构图，人员数量及相关经验能满足采购需求的得5分，不提供不得分；2.除项目负责人外，需配备其他相关专业人员，每提供一位具备相关专业注册执业资格或相关专业中级（含）以上技术职称的人员证书得1分，最高可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供应商提供2022年1月至响应文件递交截止日类似项目业绩（以合同复印件或中标通知书为准），每提供一份业绩得2.5分，最高得5分。若提供虚假业绩，一经发现，按无效投标处理。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满足磋商文件要求且投标价格最低的投标报价为评标基准价，其价格分为满分。其他投标供应商的价格分统一按照下列公式计算：投标报价得分=(磋商基准价／磋商评审价 )×10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详见附件：类似项目业绩情况表.docx</w:t>
      </w:r>
    </w:p>
    <w:p>
      <w:pPr>
        <w:pStyle w:val="null3"/>
        <w:ind w:firstLine="960"/>
      </w:pPr>
      <w:r>
        <w:rPr>
          <w:rFonts w:ascii="仿宋_GB2312" w:hAnsi="仿宋_GB2312" w:cs="仿宋_GB2312" w:eastAsia="仿宋_GB2312"/>
        </w:rPr>
        <w:t>详见附件：特殊资格审查.docx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