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版本号：SCZD2026-ZB-0822-00120260413001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2025年医疗服务与保障能力提升(医疗机构能力建设)中央补助资金设备采购项目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SCZD2026-ZB-0822-001</w:t>
      </w:r>
      <w:r>
        <w:br/>
      </w:r>
      <w:r>
        <w:br/>
      </w:r>
      <w:r>
        <w:br/>
      </w:r>
    </w:p>
    <w:p>
      <w:pPr>
        <w:pStyle w:val="null3"/>
        <w:jc w:val="center"/>
        <w:outlineLvl w:val="2"/>
      </w:pPr>
      <w:r>
        <w:rPr>
          <w:rFonts w:ascii="仿宋_GB2312" w:hAnsi="仿宋_GB2312" w:cs="仿宋_GB2312" w:eastAsia="仿宋_GB2312"/>
          <w:sz w:val="28"/>
          <w:b/>
        </w:rPr>
        <w:t>西乡县人民医院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西乡县人民医院</w:t>
      </w:r>
      <w:r>
        <w:rPr>
          <w:rFonts w:ascii="仿宋_GB2312" w:hAnsi="仿宋_GB2312" w:cs="仿宋_GB2312" w:eastAsia="仿宋_GB2312"/>
        </w:rPr>
        <w:t>委托，拟对</w:t>
      </w:r>
      <w:r>
        <w:rPr>
          <w:rFonts w:ascii="仿宋_GB2312" w:hAnsi="仿宋_GB2312" w:cs="仿宋_GB2312" w:eastAsia="仿宋_GB2312"/>
        </w:rPr>
        <w:t>2025年医疗服务与保障能力提升(医疗机构能力建设)中央补助资金设备采购项目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SCZD2026-ZB-0822-001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2025年医疗服务与保障能力提升(医疗机构能力建设)中央补助资金设备采购项目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本次采购心肺复苏仪（车载）3台、高流量湿化治疗仪6台、空气波压力循环治疗仪7台。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需按照招标公告要求的方式获取招标文件并登记备案，未按招标公告要求的方式获取招标文件并登记备案的投标人均无资格参加投标：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城南街道办河滨路2号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0916--6324309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联系人：马超、李萍</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本次采购心肺复苏仪（车载）3台、高流量湿化治疗仪6台、空气波压力循环治疗仪7台。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506,000.00</w:t>
      </w:r>
    </w:p>
    <w:p>
      <w:pPr>
        <w:pStyle w:val="null3"/>
      </w:pPr>
      <w:r>
        <w:rPr>
          <w:rFonts w:ascii="仿宋_GB2312" w:hAnsi="仿宋_GB2312" w:cs="仿宋_GB2312" w:eastAsia="仿宋_GB2312"/>
        </w:rPr>
        <w:t>采购包最高限价（元）: 506,000.00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货物</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506,000.00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color w:val="000000"/>
              </w:rPr>
              <w:t>心肺复苏仪（车载）技术参数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3台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便携式电动胸腔按压机，</w:t>
            </w:r>
            <w:r>
              <w:rPr>
                <w:rFonts w:ascii="仿宋_GB2312" w:hAnsi="仿宋_GB2312" w:cs="仿宋_GB2312" w:eastAsia="仿宋_GB2312"/>
                <w:sz w:val="21"/>
                <w:color w:val="000000"/>
              </w:rPr>
              <w:t>适用</w:t>
            </w:r>
            <w:r>
              <w:rPr>
                <w:rFonts w:ascii="仿宋_GB2312" w:hAnsi="仿宋_GB2312" w:cs="仿宋_GB2312" w:eastAsia="仿宋_GB2312"/>
                <w:sz w:val="21"/>
                <w:color w:val="000000"/>
              </w:rPr>
              <w:t>院内院外心肺复苏急救。</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按压技术：采用结合胸泵</w:t>
            </w:r>
            <w:r>
              <w:rPr>
                <w:rFonts w:ascii="仿宋_GB2312" w:hAnsi="仿宋_GB2312" w:cs="仿宋_GB2312" w:eastAsia="仿宋_GB2312"/>
                <w:sz w:val="21"/>
                <w:color w:val="000000"/>
              </w:rPr>
              <w:t>机制</w:t>
            </w:r>
            <w:r>
              <w:rPr>
                <w:rFonts w:ascii="仿宋_GB2312" w:hAnsi="仿宋_GB2312" w:cs="仿宋_GB2312" w:eastAsia="仿宋_GB2312"/>
                <w:sz w:val="21"/>
                <w:color w:val="000000"/>
              </w:rPr>
              <w:t>和心泵机制、模拟心脏搏动原理的心肺复苏技术，能比徒手</w:t>
            </w:r>
            <w:r>
              <w:rPr>
                <w:rFonts w:ascii="仿宋_GB2312" w:hAnsi="仿宋_GB2312" w:cs="仿宋_GB2312" w:eastAsia="仿宋_GB2312"/>
                <w:sz w:val="21"/>
                <w:color w:val="000000"/>
              </w:rPr>
              <w:t>CPR更高效率地改善血流动力学效应，减少复苏过程引起的损伤。</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结构及组成：主机、锂电池、电源适配器</w:t>
            </w:r>
            <w:r>
              <w:rPr>
                <w:rFonts w:ascii="仿宋_GB2312" w:hAnsi="仿宋_GB2312" w:cs="仿宋_GB2312" w:eastAsia="仿宋_GB2312"/>
                <w:sz w:val="21"/>
                <w:color w:val="000000"/>
              </w:rPr>
              <w:t>（</w:t>
            </w:r>
            <w:r>
              <w:rPr>
                <w:rFonts w:ascii="仿宋_GB2312" w:hAnsi="仿宋_GB2312" w:cs="仿宋_GB2312" w:eastAsia="仿宋_GB2312"/>
                <w:sz w:val="21"/>
                <w:color w:val="000000"/>
              </w:rPr>
              <w:t>含电源线）</w:t>
            </w:r>
            <w:r>
              <w:rPr>
                <w:rFonts w:ascii="仿宋_GB2312" w:hAnsi="仿宋_GB2312" w:cs="仿宋_GB2312" w:eastAsia="仿宋_GB2312"/>
                <w:sz w:val="21"/>
                <w:color w:val="000000"/>
              </w:rPr>
              <w:t>、固定绷带、按压头护套，可选配主机数据导出线（均需包含在医疗器械注册证的结构和组成内）。</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按压频率：</w:t>
            </w:r>
            <w:r>
              <w:rPr>
                <w:rFonts w:ascii="仿宋_GB2312" w:hAnsi="仿宋_GB2312" w:cs="仿宋_GB2312" w:eastAsia="仿宋_GB2312"/>
                <w:sz w:val="21"/>
                <w:color w:val="000000"/>
              </w:rPr>
              <w:t>在</w:t>
            </w:r>
            <w:r>
              <w:rPr>
                <w:rFonts w:ascii="仿宋_GB2312" w:hAnsi="仿宋_GB2312" w:cs="仿宋_GB2312" w:eastAsia="仿宋_GB2312"/>
                <w:sz w:val="21"/>
                <w:color w:val="000000"/>
              </w:rPr>
              <w:t>100 - 120 次/分钟范围内，允许误差：≤±1次/分钟。</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按压深度：在</w:t>
            </w:r>
            <w:r>
              <w:rPr>
                <w:rFonts w:ascii="仿宋_GB2312" w:hAnsi="仿宋_GB2312" w:cs="仿宋_GB2312" w:eastAsia="仿宋_GB2312"/>
                <w:sz w:val="21"/>
                <w:color w:val="000000"/>
              </w:rPr>
              <w:t>5-6厘米范围内，允许误差：≤±0.2厘米。</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按压释放比范围</w:t>
            </w:r>
            <w:r>
              <w:rPr>
                <w:rFonts w:ascii="仿宋_GB2312" w:hAnsi="仿宋_GB2312" w:cs="仿宋_GB2312" w:eastAsia="仿宋_GB2312"/>
                <w:sz w:val="21"/>
                <w:color w:val="000000"/>
              </w:rPr>
              <w:t>: 50%±5%。</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按压通气模式：连续按压模式和</w:t>
            </w:r>
            <w:r>
              <w:rPr>
                <w:rFonts w:ascii="仿宋_GB2312" w:hAnsi="仿宋_GB2312" w:cs="仿宋_GB2312" w:eastAsia="仿宋_GB2312"/>
                <w:sz w:val="21"/>
                <w:color w:val="000000"/>
              </w:rPr>
              <w:t>30:2模式。</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支持非水平按压，最大工作倾斜度：</w:t>
            </w:r>
            <w:r>
              <w:rPr>
                <w:rFonts w:ascii="仿宋_GB2312" w:hAnsi="仿宋_GB2312" w:cs="仿宋_GB2312" w:eastAsia="仿宋_GB2312"/>
                <w:sz w:val="21"/>
                <w:color w:val="000000"/>
              </w:rPr>
              <w:t>≥45°；工作状态下，主机倾斜度不大于最大工作倾斜度时，仍应能够正常工作，按压头按压位置无明显改变，按压深度误差：≤±2mm、按压频率误差≤±1次/分钟。</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主机绷带挂钩宽度：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t>
            </w:r>
            <w:r>
              <w:rPr>
                <w:rFonts w:ascii="仿宋_GB2312" w:hAnsi="仿宋_GB2312" w:cs="仿宋_GB2312" w:eastAsia="仿宋_GB2312"/>
                <w:sz w:val="21"/>
                <w:color w:val="000000"/>
              </w:rPr>
              <w:t>mm，确保按压期胸腔双侧向内收缩，避免按压动能外泄。</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主机绷带挂钩高度：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20</w:t>
            </w:r>
            <w:r>
              <w:rPr>
                <w:rFonts w:ascii="仿宋_GB2312" w:hAnsi="仿宋_GB2312" w:cs="仿宋_GB2312" w:eastAsia="仿宋_GB2312"/>
                <w:sz w:val="21"/>
                <w:color w:val="000000"/>
              </w:rPr>
              <w:t>mm，确保按压期按压动能可实时传至胸腔背部两侧并向内收缩，实现胸周全收缩效果，同时降低按压期主机的晃动。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固定绷带强度：材料为全柔性材料，无任何硬背板，固定绷带在承受</w:t>
            </w:r>
            <w:r>
              <w:rPr>
                <w:rFonts w:ascii="仿宋_GB2312" w:hAnsi="仿宋_GB2312" w:cs="仿宋_GB2312" w:eastAsia="仿宋_GB2312"/>
                <w:sz w:val="21"/>
                <w:color w:val="000000"/>
              </w:rPr>
              <w:t>≥250N 拉力的情况下，不会断裂脱落影响使用。</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2.固定绷带粘扣强度：绷带连接粘扣能承受的最大纵向拉力≥50N。</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车载运行性能：通过</w:t>
            </w:r>
            <w:r>
              <w:rPr>
                <w:rFonts w:ascii="仿宋_GB2312" w:hAnsi="仿宋_GB2312" w:cs="仿宋_GB2312" w:eastAsia="仿宋_GB2312"/>
                <w:sz w:val="21"/>
                <w:color w:val="000000"/>
              </w:rPr>
              <w:t>EN1789《医用车辆和其设备</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道路救护车》测试</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具有测试报告。</w:t>
            </w:r>
            <w:r>
              <w:rPr>
                <w:rFonts w:ascii="仿宋_GB2312" w:hAnsi="仿宋_GB2312" w:cs="仿宋_GB2312" w:eastAsia="仿宋_GB2312"/>
                <w:sz w:val="21"/>
                <w:color w:val="000000"/>
              </w:rPr>
              <w:t>在三级公路、行驶速度</w:t>
            </w:r>
            <w:r>
              <w:rPr>
                <w:rFonts w:ascii="仿宋_GB2312" w:hAnsi="仿宋_GB2312" w:cs="仿宋_GB2312" w:eastAsia="仿宋_GB2312"/>
                <w:sz w:val="21"/>
                <w:color w:val="000000"/>
              </w:rPr>
              <w:t>40km／h，运行200km状态下，能持续稳定实施胸腔按压，实际按压频率误差≤±1次/分钟，且实际按压深度误差≤±0.2厘米。</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安全标准：满足</w:t>
            </w:r>
            <w:r>
              <w:rPr>
                <w:rFonts w:ascii="仿宋_GB2312" w:hAnsi="仿宋_GB2312" w:cs="仿宋_GB2312" w:eastAsia="仿宋_GB2312"/>
                <w:sz w:val="21"/>
                <w:color w:val="000000"/>
              </w:rPr>
              <w:t>GB9706.1-2020《医用电气设备 第1部分 安全通用要求》的条款要求。</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电磁兼容：满足</w:t>
            </w:r>
            <w:r>
              <w:rPr>
                <w:rFonts w:ascii="仿宋_GB2312" w:hAnsi="仿宋_GB2312" w:cs="仿宋_GB2312" w:eastAsia="仿宋_GB2312"/>
                <w:sz w:val="21"/>
                <w:color w:val="000000"/>
              </w:rPr>
              <w:t>YY 9706.102-2021《医用电气设备 第 1-2 部分 安全通用要求并列标准 电磁兼容-要求和试验》的要求。</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单块电池供电时间：新电池充满电的情况下，电池可以连续运行的时间</w:t>
            </w:r>
            <w:r>
              <w:rPr>
                <w:rFonts w:ascii="仿宋_GB2312" w:hAnsi="仿宋_GB2312" w:cs="仿宋_GB2312" w:eastAsia="仿宋_GB2312"/>
                <w:sz w:val="21"/>
                <w:color w:val="000000"/>
              </w:rPr>
              <w:t>≥60分钟。</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w:t>
            </w:r>
            <w:r>
              <w:rPr>
                <w:rFonts w:ascii="仿宋_GB2312" w:hAnsi="仿宋_GB2312" w:cs="仿宋_GB2312" w:eastAsia="仿宋_GB2312"/>
                <w:sz w:val="21"/>
                <w:color w:val="000000"/>
              </w:rPr>
              <w:t>防电击类型分类：</w:t>
            </w:r>
            <w:r>
              <w:rPr>
                <w:rFonts w:ascii="仿宋_GB2312" w:hAnsi="仿宋_GB2312" w:cs="仿宋_GB2312" w:eastAsia="仿宋_GB2312"/>
                <w:sz w:val="21"/>
                <w:color w:val="000000"/>
              </w:rPr>
              <w:t>II 类外部电源供电的设备，具有双重绝缘或加强绝缘设计，无需专用接地线，满足紧急医疗服务环境中或移动的救护车内无地线环境使用；同时具备内部电源的供电设备。</w:t>
            </w:r>
          </w:p>
          <w:p>
            <w:pPr>
              <w:pStyle w:val="null3"/>
              <w:jc w:val="left"/>
            </w:pPr>
            <w:r>
              <w:rPr>
                <w:rFonts w:ascii="仿宋_GB2312" w:hAnsi="仿宋_GB2312" w:cs="仿宋_GB2312" w:eastAsia="仿宋_GB2312"/>
                <w:sz w:val="21"/>
                <w:color w:val="000000"/>
              </w:rPr>
              <w:t>18.</w:t>
            </w:r>
            <w:r>
              <w:rPr>
                <w:rFonts w:ascii="仿宋_GB2312" w:hAnsi="仿宋_GB2312" w:cs="仿宋_GB2312" w:eastAsia="仿宋_GB2312"/>
                <w:sz w:val="21"/>
                <w:color w:val="000000"/>
              </w:rPr>
              <w:t>▲</w:t>
            </w:r>
            <w:r>
              <w:rPr>
                <w:rFonts w:ascii="仿宋_GB2312" w:hAnsi="仿宋_GB2312" w:cs="仿宋_GB2312" w:eastAsia="仿宋_GB2312"/>
                <w:sz w:val="21"/>
                <w:color w:val="000000"/>
              </w:rPr>
              <w:t>防电击的程度分类：</w:t>
            </w:r>
            <w:r>
              <w:rPr>
                <w:rFonts w:ascii="仿宋_GB2312" w:hAnsi="仿宋_GB2312" w:cs="仿宋_GB2312" w:eastAsia="仿宋_GB2312"/>
                <w:sz w:val="21"/>
                <w:color w:val="000000"/>
              </w:rPr>
              <w:t>CF 型，应用部分可与患者心脏直接接触的使用。</w:t>
            </w:r>
          </w:p>
          <w:p>
            <w:pPr>
              <w:pStyle w:val="null3"/>
              <w:jc w:val="left"/>
            </w:pPr>
            <w:r>
              <w:rPr>
                <w:rFonts w:ascii="仿宋_GB2312" w:hAnsi="仿宋_GB2312" w:cs="仿宋_GB2312" w:eastAsia="仿宋_GB2312"/>
                <w:sz w:val="21"/>
                <w:color w:val="000000"/>
              </w:rPr>
              <w:t>19.</w:t>
            </w:r>
            <w:r>
              <w:rPr>
                <w:rFonts w:ascii="仿宋_GB2312" w:hAnsi="仿宋_GB2312" w:cs="仿宋_GB2312" w:eastAsia="仿宋_GB2312"/>
                <w:sz w:val="21"/>
                <w:color w:val="000000"/>
              </w:rPr>
              <w:t>防护程度分类：</w:t>
            </w:r>
            <w:r>
              <w:rPr>
                <w:rFonts w:ascii="仿宋_GB2312" w:hAnsi="仿宋_GB2312" w:cs="仿宋_GB2312" w:eastAsia="仿宋_GB2312"/>
                <w:sz w:val="21"/>
                <w:color w:val="000000"/>
              </w:rPr>
              <w:t>≥IP33</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20.</w:t>
            </w:r>
            <w:r>
              <w:rPr>
                <w:rFonts w:ascii="仿宋_GB2312" w:hAnsi="仿宋_GB2312" w:cs="仿宋_GB2312" w:eastAsia="仿宋_GB2312"/>
                <w:sz w:val="21"/>
                <w:color w:val="000000"/>
              </w:rPr>
              <w:t>主机重量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含电池）</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Kg</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21.</w:t>
            </w:r>
            <w:r>
              <w:rPr>
                <w:rFonts w:ascii="仿宋_GB2312" w:hAnsi="仿宋_GB2312" w:cs="仿宋_GB2312" w:eastAsia="仿宋_GB2312"/>
                <w:sz w:val="21"/>
                <w:color w:val="000000"/>
              </w:rPr>
              <w:t>无需硬质背板支撑，不受软床垫影响。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right="210"/>
              <w:jc w:val="center"/>
            </w:pPr>
            <w:r>
              <w:rPr>
                <w:rFonts w:ascii="仿宋_GB2312" w:hAnsi="仿宋_GB2312" w:cs="仿宋_GB2312" w:eastAsia="仿宋_GB2312"/>
                <w:sz w:val="21"/>
                <w:b/>
                <w:color w:val="000000"/>
              </w:rPr>
              <w:t>高流量</w:t>
            </w:r>
            <w:r>
              <w:rPr>
                <w:rFonts w:ascii="仿宋_GB2312" w:hAnsi="仿宋_GB2312" w:cs="仿宋_GB2312" w:eastAsia="仿宋_GB2312"/>
                <w:sz w:val="21"/>
                <w:b/>
                <w:color w:val="000000"/>
              </w:rPr>
              <w:t>湿化治疗</w:t>
            </w:r>
            <w:r>
              <w:rPr>
                <w:rFonts w:ascii="仿宋_GB2312" w:hAnsi="仿宋_GB2312" w:cs="仿宋_GB2312" w:eastAsia="仿宋_GB2312"/>
                <w:sz w:val="21"/>
                <w:b/>
                <w:color w:val="000000"/>
              </w:rPr>
              <w:t>仪</w:t>
            </w:r>
            <w:r>
              <w:rPr>
                <w:rFonts w:ascii="仿宋_GB2312" w:hAnsi="仿宋_GB2312" w:cs="仿宋_GB2312" w:eastAsia="仿宋_GB2312"/>
                <w:sz w:val="21"/>
                <w:b/>
                <w:color w:val="000000"/>
              </w:rPr>
              <w:t>技术</w:t>
            </w:r>
            <w:r>
              <w:rPr>
                <w:rFonts w:ascii="仿宋_GB2312" w:hAnsi="仿宋_GB2312" w:cs="仿宋_GB2312" w:eastAsia="仿宋_GB2312"/>
                <w:sz w:val="21"/>
                <w:b/>
                <w:color w:val="000000"/>
              </w:rPr>
              <w:t>参数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6台</w:t>
            </w:r>
          </w:p>
          <w:p>
            <w:pPr>
              <w:pStyle w:val="null3"/>
              <w:ind w:right="210"/>
              <w:jc w:val="center"/>
            </w:pPr>
            <w:r>
              <w:rPr>
                <w:rFonts w:ascii="仿宋_GB2312" w:hAnsi="仿宋_GB2312" w:cs="仿宋_GB2312" w:eastAsia="仿宋_GB2312"/>
                <w:sz w:val="21"/>
                <w:b/>
                <w:color w:val="000000"/>
              </w:rPr>
              <w:t>（核心产品）</w:t>
            </w:r>
          </w:p>
          <w:p>
            <w:pPr>
              <w:pStyle w:val="null3"/>
              <w:jc w:val="both"/>
            </w:pPr>
            <w:r>
              <w:rPr>
                <w:rFonts w:ascii="仿宋_GB2312" w:hAnsi="仿宋_GB2312" w:cs="仿宋_GB2312" w:eastAsia="仿宋_GB2312"/>
                <w:sz w:val="21"/>
                <w:color w:val="000000"/>
              </w:rPr>
              <w:t>一、整机与显示要求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≥4英寸彩色电容触摸控制屏，屏幕亮度可调节。</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内置涡轮：无需空压机，无气源也可独立工作。</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支持高压氧和低压氧，可直接连接中心供氧，无需外接浮子流量计。</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内置空氧混合系统，氧浓度通过主机旋钮直接调节。</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主机和附件气道分离，供气回路和患者回路相互独立，降低主机污染概率。</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采用可拆卸式细菌过滤器，细菌过滤效率</w:t>
            </w:r>
            <w:r>
              <w:rPr>
                <w:rFonts w:ascii="仿宋_GB2312" w:hAnsi="仿宋_GB2312" w:cs="仿宋_GB2312" w:eastAsia="仿宋_GB2312"/>
                <w:sz w:val="21"/>
                <w:color w:val="000000"/>
              </w:rPr>
              <w:t>≥</w:t>
            </w:r>
            <w:r>
              <w:rPr>
                <w:rFonts w:ascii="仿宋_GB2312" w:hAnsi="仿宋_GB2312" w:cs="仿宋_GB2312" w:eastAsia="仿宋_GB2312"/>
                <w:sz w:val="21"/>
                <w:color w:val="000000"/>
              </w:rPr>
              <w:t>99.99%。</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标配无消耗氧传感器，无需使用氧电池等耗材。</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主机屏幕具备自动锁屏功能。</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支持显示趋势表、趋势图、设置趋势表和事件日志。</w:t>
            </w:r>
          </w:p>
          <w:p>
            <w:pPr>
              <w:pStyle w:val="null3"/>
              <w:jc w:val="both"/>
            </w:pPr>
            <w:r>
              <w:rPr>
                <w:rFonts w:ascii="仿宋_GB2312" w:hAnsi="仿宋_GB2312" w:cs="仿宋_GB2312" w:eastAsia="仿宋_GB2312"/>
                <w:sz w:val="21"/>
                <w:color w:val="000000"/>
              </w:rPr>
              <w:t>二、通气功能和设置参数</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具有高流量模式和低流量模式。</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具有一键增氧功能，可一键增加吸入氧浓度。</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可选配血氧监测功能，用于血氧饱和度监测、脉率监测和灌注指数监测。</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具有氧疗计时功能。</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具有管路干燥功能。</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吸入氧浓度：</w:t>
            </w:r>
            <w:r>
              <w:rPr>
                <w:rFonts w:ascii="仿宋_GB2312" w:hAnsi="仿宋_GB2312" w:cs="仿宋_GB2312" w:eastAsia="仿宋_GB2312"/>
                <w:sz w:val="21"/>
                <w:color w:val="000000"/>
              </w:rPr>
              <w:t>21—100%</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氧疗流量：</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0L/min</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温度：</w:t>
            </w:r>
            <w:r>
              <w:rPr>
                <w:rFonts w:ascii="仿宋_GB2312" w:hAnsi="仿宋_GB2312" w:cs="仿宋_GB2312" w:eastAsia="仿宋_GB2312"/>
                <w:sz w:val="21"/>
                <w:color w:val="000000"/>
              </w:rPr>
              <w:t>29—37℃</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加湿档位：</w:t>
            </w:r>
            <w:r>
              <w:rPr>
                <w:rFonts w:ascii="仿宋_GB2312" w:hAnsi="仿宋_GB2312" w:cs="仿宋_GB2312" w:eastAsia="仿宋_GB2312"/>
                <w:sz w:val="21"/>
                <w:color w:val="000000"/>
              </w:rPr>
              <w:t>7档可调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三、监测参数和报警</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可选配</w:t>
            </w:r>
            <w:r>
              <w:rPr>
                <w:rFonts w:ascii="仿宋_GB2312" w:hAnsi="仿宋_GB2312" w:cs="仿宋_GB2312" w:eastAsia="仿宋_GB2312"/>
                <w:sz w:val="21"/>
                <w:color w:val="000000"/>
              </w:rPr>
              <w:t>ROX监测，评估患者氧疗效果。</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可选配患者吸气峰值流量监测，辅助评估患者状态。</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具有水位过低报警，防止水罐无水干烧。</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具有声光报警系统，能够通过声音和灯光变化提示机器报警。</w:t>
            </w:r>
          </w:p>
          <w:p>
            <w:pPr>
              <w:pStyle w:val="null3"/>
              <w:jc w:val="both"/>
            </w:pPr>
            <w:r>
              <w:rPr>
                <w:rFonts w:ascii="仿宋_GB2312" w:hAnsi="仿宋_GB2312" w:cs="仿宋_GB2312" w:eastAsia="仿宋_GB2312"/>
                <w:sz w:val="21"/>
                <w:color w:val="000000"/>
              </w:rPr>
              <w:t>四、配附件要求</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提供与主机同品牌原厂耗材</w:t>
            </w:r>
            <w:r>
              <w:rPr>
                <w:rFonts w:ascii="仿宋_GB2312" w:hAnsi="仿宋_GB2312" w:cs="仿宋_GB2312" w:eastAsia="仿宋_GB2312"/>
                <w:sz w:val="21"/>
                <w:color w:val="000000"/>
              </w:rPr>
              <w:t>，包括加热呼吸管路、湿化水罐、患者连接界面。</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加温呼吸管路：内置加热丝，可监测温度，并根据温度变化自动调节管路加温功率。</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提供设备厂家自产成人鼻氧管、儿童鼻氧管、气切界面等多种患者连接界面。</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配移动台车。</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可选配浮子流量计。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1"/>
                <w:b/>
                <w:color w:val="000000"/>
              </w:rPr>
              <w:t>空气波压力循环治疗仪技术参数</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7台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设备工作压力值范围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199</w:t>
            </w:r>
            <w:r>
              <w:rPr>
                <w:rFonts w:ascii="仿宋_GB2312" w:hAnsi="仿宋_GB2312" w:cs="仿宋_GB2312" w:eastAsia="仿宋_GB2312"/>
                <w:sz w:val="21"/>
                <w:color w:val="000000"/>
              </w:rPr>
              <w:t>mmHg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操作及配置：</w:t>
            </w:r>
            <w:r>
              <w:rPr>
                <w:rFonts w:ascii="仿宋_GB2312" w:hAnsi="仿宋_GB2312" w:cs="仿宋_GB2312" w:eastAsia="仿宋_GB2312"/>
                <w:sz w:val="21"/>
                <w:color w:val="000000"/>
              </w:rPr>
              <w:t>≥5</w:t>
            </w:r>
            <w:r>
              <w:rPr>
                <w:rFonts w:ascii="仿宋_GB2312" w:hAnsi="仿宋_GB2312" w:cs="仿宋_GB2312" w:eastAsia="仿宋_GB2312"/>
                <w:sz w:val="21"/>
                <w:color w:val="000000"/>
              </w:rPr>
              <w:t>英</w:t>
            </w:r>
            <w:r>
              <w:rPr>
                <w:rFonts w:ascii="仿宋_GB2312" w:hAnsi="仿宋_GB2312" w:cs="仿宋_GB2312" w:eastAsia="仿宋_GB2312"/>
                <w:sz w:val="21"/>
                <w:color w:val="000000"/>
              </w:rPr>
              <w:t>寸彩色液晶人体仿生全触摸屏操作</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支持一键锁屏</w:t>
            </w:r>
            <w:r>
              <w:rPr>
                <w:rFonts w:ascii="仿宋_GB2312" w:hAnsi="仿宋_GB2312" w:cs="仿宋_GB2312" w:eastAsia="仿宋_GB2312"/>
                <w:sz w:val="21"/>
                <w:color w:val="000000"/>
              </w:rPr>
              <w:t>-解锁，防止非专业人员误操作，主界面可显示实时治疗进度、实时治疗压力、血液回盈检测标志。</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可</w:t>
            </w:r>
            <w:r>
              <w:rPr>
                <w:rFonts w:ascii="仿宋_GB2312" w:hAnsi="仿宋_GB2312" w:cs="仿宋_GB2312" w:eastAsia="仿宋_GB2312"/>
                <w:sz w:val="21"/>
                <w:color w:val="000000"/>
              </w:rPr>
              <w:t>选配</w:t>
            </w:r>
            <w:r>
              <w:rPr>
                <w:rFonts w:ascii="仿宋_GB2312" w:hAnsi="仿宋_GB2312" w:cs="仿宋_GB2312" w:eastAsia="仿宋_GB2312"/>
                <w:sz w:val="21"/>
                <w:color w:val="000000"/>
              </w:rPr>
              <w:t>气囊种类腿部八腔气囊、腿部六腔气囊、腿部四腔气囊、腿部三腔气囊、小腿三腔气囊、左</w:t>
            </w:r>
            <w:r>
              <w:rPr>
                <w:rFonts w:ascii="仿宋_GB2312" w:hAnsi="仿宋_GB2312" w:cs="仿宋_GB2312" w:eastAsia="仿宋_GB2312"/>
                <w:sz w:val="21"/>
                <w:color w:val="000000"/>
              </w:rPr>
              <w:t>/右足气囊，可选重复使用和单人次使用供临床选择。</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治疗方案：</w:t>
            </w: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种，含专业循环压强治疗方案和防栓梯度压力方案</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内置电池功能：具备内置电池，交直流两用，手术室、室外、特殊环境等移动使用性能提升，连续工作时间</w:t>
            </w:r>
            <w:r>
              <w:rPr>
                <w:rFonts w:ascii="仿宋_GB2312" w:hAnsi="仿宋_GB2312" w:cs="仿宋_GB2312" w:eastAsia="仿宋_GB2312"/>
                <w:sz w:val="21"/>
                <w:color w:val="000000"/>
              </w:rPr>
              <w:t>≥4小时，待机时间≥12小时</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保压时间</w:t>
            </w:r>
            <w:r>
              <w:rPr>
                <w:rFonts w:ascii="仿宋_GB2312" w:hAnsi="仿宋_GB2312" w:cs="仿宋_GB2312" w:eastAsia="仿宋_GB2312"/>
                <w:sz w:val="21"/>
                <w:color w:val="000000"/>
              </w:rPr>
              <w:t>0-15s可调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间隔时间</w:t>
            </w:r>
            <w:r>
              <w:rPr>
                <w:rFonts w:ascii="仿宋_GB2312" w:hAnsi="仿宋_GB2312" w:cs="仿宋_GB2312" w:eastAsia="仿宋_GB2312"/>
                <w:sz w:val="21"/>
                <w:color w:val="000000"/>
              </w:rPr>
              <w:t>0s-99s可调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设备应具有血液回盈侦测功能，支持全自动调节和手动调节</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设备充气速度</w:t>
            </w:r>
            <w:r>
              <w:rPr>
                <w:rFonts w:ascii="仿宋_GB2312" w:hAnsi="仿宋_GB2312" w:cs="仿宋_GB2312" w:eastAsia="仿宋_GB2312"/>
                <w:sz w:val="21"/>
                <w:color w:val="000000"/>
              </w:rPr>
              <w:t>1-7级可调</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治疗时间</w:t>
            </w:r>
            <w:r>
              <w:rPr>
                <w:rFonts w:ascii="仿宋_GB2312" w:hAnsi="仿宋_GB2312" w:cs="仿宋_GB2312" w:eastAsia="仿宋_GB2312"/>
                <w:sz w:val="21"/>
                <w:color w:val="000000"/>
              </w:rPr>
              <w:t>1min-99min可调，支持不间断治疗，治疗时间支持多种单位显示</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设备应具备单腔零压跳过功能，可每腔任意压力值调节压力，且每腔之间压力差值可任意调节，调节步进</w:t>
            </w:r>
            <w:r>
              <w:rPr>
                <w:rFonts w:ascii="仿宋_GB2312" w:hAnsi="仿宋_GB2312" w:cs="仿宋_GB2312" w:eastAsia="仿宋_GB2312"/>
                <w:sz w:val="21"/>
                <w:color w:val="000000"/>
              </w:rPr>
              <w:t>≤2mmHg</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噪声抑制：具备超静音噪声抑制技术，噪音</w:t>
            </w:r>
            <w:r>
              <w:rPr>
                <w:rFonts w:ascii="仿宋_GB2312" w:hAnsi="仿宋_GB2312" w:cs="仿宋_GB2312" w:eastAsia="仿宋_GB2312"/>
                <w:sz w:val="21"/>
                <w:color w:val="000000"/>
              </w:rPr>
              <w:t>≤50dB</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主机重量：净重</w:t>
            </w:r>
            <w:r>
              <w:rPr>
                <w:rFonts w:ascii="仿宋_GB2312" w:hAnsi="仿宋_GB2312" w:cs="仿宋_GB2312" w:eastAsia="仿宋_GB2312"/>
                <w:sz w:val="21"/>
                <w:color w:val="000000"/>
              </w:rPr>
              <w:t>2.0Kg±0.25Kg，小巧轻便，方便临床在病房移动</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仪器具有超压、欠压、电量低、电量极低提示、压强传感器异常及通讯异常提示，提示发生时，界面有提示，并且伴随声音提示</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KPa和mmHg单位可切换显示</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合同签订后30天交货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合同签订，安装调试验收合格3个月内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合同签订，安装调试验收合格6个月内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合同签订，安装调试验收合格24个月后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①营业执照：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②其他内容：提供汉中市基本资格条件承诺函。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提供汉中市基本资格条件承诺函。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3322"/>
          </w:tcPr>
          <w:p>
            <w:pPr>
              <w:pStyle w:val="null3"/>
            </w:pPr>
            <w:r>
              <w:rPr>
                <w:rFonts w:ascii="仿宋_GB2312" w:hAnsi="仿宋_GB2312" w:cs="仿宋_GB2312" w:eastAsia="仿宋_GB2312"/>
              </w:rPr>
              <w:t>投标人不得存在下列情形之一： （1）单位负责人为同一人或者存在直接控股、管理关系的不同投标人，不得参加本次采购活动；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投标文件中要求签字、盖章的部分必须签字或盖章</w:t>
            </w:r>
          </w:p>
        </w:tc>
        <w:tc>
          <w:tcPr>
            <w:tcW w:type="dxa" w:w="1661"/>
          </w:tcPr>
          <w:p>
            <w:pPr>
              <w:pStyle w:val="null3"/>
            </w:pPr>
            <w:r>
              <w:rPr>
                <w:rFonts w:ascii="仿宋_GB2312" w:hAnsi="仿宋_GB2312" w:cs="仿宋_GB2312" w:eastAsia="仿宋_GB2312"/>
              </w:rPr>
              <w:t>开标一览表 业绩.docx 中小企业声明函 商务应答表 优先采购节能产品.docx 资格证明文件.docx 满足详细评审办法的内容.docx 产品技术参数表 分项报价表.docx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投标人的报价明显低于其他通过符合性审查投标人的报价，有可能影响产品质量或者不能诚信履约的，且投标人不能证明其报价合理性的。（根据财政部2026年1月14日发布的《关于推动解决政府采购异常低价问题的通知》（财库〔2026〕2号），政府采购异常低价的最新判定标准如下：（1）投标报价低于全部通过符合性审查供应商投标报价平均值的50%即投标报价 &lt; 全部通过符合性审查供应商投标报价平均值 × 50%。（2）投标报价低于通过符合性审查的次低报价供应商投标报价的50%即投标报价 &lt; 通过符合性审查的次低报价供应商投标报价 × 50%。（3）投标报价低于采购项目最高限价的45%即投标报价 &lt; 采购项目最高限价 × 45%。（4）评审委员会基于专业判断，认为供应商报价过低，有可能影响产品质量或者不能诚信履约的其他情形评审委员会可根据项目具体情况、市场行情、供应商过往履约记录等综合判断，若认为报价过低可能导致产品质量问题或无法诚信履约，也可启动异常低价审查。注：采购人可根据项目实际情况，在上述第1至第3项基础上提高启动异常低价审查的数值标准，但最高不得超过65%。若相关法律法规对供应商报价有特殊规定，则从其规定。）</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产品技术参数表 分项报价表.docx 投标函 商务应答表 标的清单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优先采购节能产品.docx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投标产品的技术指标评审：完全响应得34分。“▲”技术指标参数一项不满足扣3分，一般项技术指标参数一项不满足扣1分，扣完为止。 评审依据：所投技术参数均需提供相应的证明文件（包括不限于检测报告、技术白皮书、厂家产品说明等）；无技术材料或支持材料无法佐证视为负偏离。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1.所投设备技术先进、可靠性强、成熟度高，满足用户需求，得5分； 2.所投设备技术成熟、性能稳定，基本满足用户需求，得3分； 3.所投设备技术成熟、性能满足、影响用户使用效果，得1分。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1.内容完整、可实施且质保期长得4分；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1.内容完整、可实施、且有针对性得3分； 2.内容完整、可实施得2分； 3.方案基本完整得1分； 4.未提供不得分。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提供2023年1月1日至投标截止时间（以合同签订时间为准）所投核心产品的同品牌业绩，每提供一个业绩得1分，满分5分。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 （小微企业、监狱企业或残疾人福利性单位用投标报价扣除后的价格参加评审。）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详见附件：优先采购节能产品.docx</w:t>
      </w:r>
    </w:p>
    <w:p>
      <w:pPr>
        <w:pStyle w:val="null3"/>
        <w:ind w:firstLine="960"/>
      </w:pPr>
      <w:r>
        <w:rPr>
          <w:rFonts w:ascii="仿宋_GB2312" w:hAnsi="仿宋_GB2312" w:cs="仿宋_GB2312" w:eastAsia="仿宋_GB2312"/>
        </w:rPr>
        <w:t>详见附件：满足详细评审办法的内容.docx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