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版本号：HZ-J2026011C20260423001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西乡县茶产品创新研发基地建设项目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HZ-J2026011C</w:t>
      </w:r>
      <w:r>
        <w:br/>
      </w:r>
      <w:r>
        <w:br/>
      </w:r>
      <w:r>
        <w:br/>
      </w:r>
    </w:p>
    <w:p>
      <w:pPr>
        <w:pStyle w:val="null3"/>
        <w:jc w:val="center"/>
        <w:outlineLvl w:val="2"/>
      </w:pPr>
      <w:r>
        <w:rPr>
          <w:rFonts w:ascii="仿宋_GB2312" w:hAnsi="仿宋_GB2312" w:cs="仿宋_GB2312" w:eastAsia="仿宋_GB2312"/>
          <w:sz w:val="28"/>
          <w:b/>
        </w:rPr>
        <w:t>西乡县茶产业发展中心</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西乡县茶产业发展中心</w:t>
      </w:r>
      <w:r>
        <w:rPr>
          <w:rFonts w:ascii="仿宋_GB2312" w:hAnsi="仿宋_GB2312" w:cs="仿宋_GB2312" w:eastAsia="仿宋_GB2312"/>
        </w:rPr>
        <w:t>委托，拟对</w:t>
      </w:r>
      <w:r>
        <w:rPr>
          <w:rFonts w:ascii="仿宋_GB2312" w:hAnsi="仿宋_GB2312" w:cs="仿宋_GB2312" w:eastAsia="仿宋_GB2312"/>
        </w:rPr>
        <w:t>西乡县茶产品创新研发基地建设项目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HZ-J2026011C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西乡县茶产品创新研发基地建设项目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西乡县茶产品创新研发基地建设项目由万烁设计集团有限公司设计。项目建设地点汉中市西乡县茶叶试验站园区内，距离城中心5公里处，属于西乡县城北街道办区域内。 本项目主要建设内容：土方开挖回填、多孔砖砌筑、蒸压加气混凝土墙板安装、独立基础、基础梁、楼承板等浇筑，钢筋工程、细石混凝土屋面浇筑，排水管及变形缝施工，保温隔热屋面，水泥砂浆楼地面、块料楼地面、细石混凝土地面施工，不锈钢扶手栏杆安装，墙面一般抹灰、块料墙面，矿棉板吊顶，外墙乳胶漆，钢结构工程，给排水工程，弱电工程，消火栓工程，电气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采购包1（西乡县茶产品创新研发基地建设项目）：属于专门面向中小企业采购。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1、有效的主体资格证明：供应商为具有独立承担民事责任能力的企业法人、负责人或其他组织或自然人，并出具有效的营业执照或证明文件或自然人的身份证明。</w:t>
      </w:r>
    </w:p>
    <w:p>
      <w:pPr>
        <w:pStyle w:val="null3"/>
      </w:pPr>
      <w:r>
        <w:rPr>
          <w:rFonts w:ascii="仿宋_GB2312" w:hAnsi="仿宋_GB2312" w:cs="仿宋_GB2312" w:eastAsia="仿宋_GB2312"/>
        </w:rPr>
        <w:t>2、授权代表身份证明：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w:t>
      </w:r>
    </w:p>
    <w:p>
      <w:pPr>
        <w:pStyle w:val="null3"/>
      </w:pPr>
      <w:r>
        <w:rPr>
          <w:rFonts w:ascii="仿宋_GB2312" w:hAnsi="仿宋_GB2312" w:cs="仿宋_GB2312" w:eastAsia="仿宋_GB2312"/>
        </w:rPr>
        <w:t>4、企业资质要求：供应商须具有行业主管部门颁发的建筑工程施工总承包三级及以上资质，并具有有效的安全生产许可证。</w:t>
      </w:r>
    </w:p>
    <w:p>
      <w:pPr>
        <w:pStyle w:val="null3"/>
      </w:pPr>
      <w:r>
        <w:rPr>
          <w:rFonts w:ascii="仿宋_GB2312" w:hAnsi="仿宋_GB2312" w:cs="仿宋_GB2312" w:eastAsia="仿宋_GB2312"/>
        </w:rPr>
        <w:t>5、项目经理资质要求：拟派本项目的项目经理须具备建筑工程专业二级及以上注册建造师，并具有有效的安全生产考核合格证书，且无在建工程(出具无在建承诺书）。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西乡县茶产业发展中心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西乡县汉白路西段1号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刘仲贤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0916-6222310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采购包1：3,432,933.44元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小便器、大便器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开户名称：陕西汉正项目管理有限公司</w:t>
            </w:r>
          </w:p>
          <w:p>
            <w:pPr>
              <w:pStyle w:val="null3"/>
            </w:pPr>
            <w:r>
              <w:rPr>
                <w:rFonts w:ascii="仿宋_GB2312" w:hAnsi="仿宋_GB2312" w:cs="仿宋_GB2312" w:eastAsia="仿宋_GB2312"/>
              </w:rPr>
              <w:t>开户银行：交通银行西安高新区科技支行</w:t>
            </w:r>
          </w:p>
          <w:p>
            <w:pPr>
              <w:pStyle w:val="null3"/>
            </w:pPr>
            <w:r>
              <w:rPr>
                <w:rFonts w:ascii="仿宋_GB2312" w:hAnsi="仿宋_GB2312" w:cs="仿宋_GB2312" w:eastAsia="仿宋_GB2312"/>
              </w:rPr>
              <w:t>银行账号：611301134013003303223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代理服务费收费标准：按照采购代理合同约定执行 户名：陕西汉正项目管理有限公司 开户行：中国建设银行股份有限公司西安科技二路支行 账号：61050110771000000926</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西乡县茶产业发展中心</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西乡县茶产业发展中心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西乡县茶产业发展中心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3,432,933.44</w:t>
      </w:r>
    </w:p>
    <w:p>
      <w:pPr>
        <w:pStyle w:val="null3"/>
      </w:pPr>
      <w:r>
        <w:rPr>
          <w:rFonts w:ascii="仿宋_GB2312" w:hAnsi="仿宋_GB2312" w:cs="仿宋_GB2312" w:eastAsia="仿宋_GB2312"/>
        </w:rPr>
        <w:t>采购包最高限价（元）: 3,432,933.44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西乡县茶产品创新研发基地建设项目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3,432,933.44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标的名称：西乡县茶产品创新研发基地建设项目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color w:val="000000"/>
              </w:rPr>
              <w:t>一、工程概况</w:t>
            </w:r>
          </w:p>
          <w:p>
            <w:pPr>
              <w:pStyle w:val="null3"/>
              <w:ind w:firstLine="400"/>
              <w:jc w:val="both"/>
            </w:pPr>
            <w:r>
              <w:rPr>
                <w:rFonts w:ascii="仿宋_GB2312" w:hAnsi="仿宋_GB2312" w:cs="仿宋_GB2312" w:eastAsia="仿宋_GB2312"/>
                <w:sz w:val="21"/>
                <w:color w:val="000000"/>
              </w:rPr>
              <w:t>西乡县茶产品创新研发基地建设项目由万烁设计集团有限公司设计。项目</w:t>
            </w:r>
            <w:r>
              <w:rPr>
                <w:rFonts w:ascii="仿宋_GB2312" w:hAnsi="仿宋_GB2312" w:cs="仿宋_GB2312" w:eastAsia="仿宋_GB2312"/>
                <w:sz w:val="21"/>
                <w:color w:val="000000"/>
              </w:rPr>
              <w:t>建设地点汉中市西乡县茶叶试验站园区内，距离城中心</w:t>
            </w:r>
            <w:r>
              <w:rPr>
                <w:rFonts w:ascii="仿宋_GB2312" w:hAnsi="仿宋_GB2312" w:cs="仿宋_GB2312" w:eastAsia="仿宋_GB2312"/>
                <w:sz w:val="21"/>
                <w:color w:val="000000"/>
              </w:rPr>
              <w:t>5公里处，属于西乡县城北街道办区域内。</w:t>
            </w:r>
          </w:p>
          <w:p>
            <w:pPr>
              <w:pStyle w:val="null3"/>
              <w:ind w:firstLine="400"/>
              <w:jc w:val="both"/>
            </w:pPr>
            <w:r>
              <w:rPr>
                <w:rFonts w:ascii="仿宋_GB2312" w:hAnsi="仿宋_GB2312" w:cs="仿宋_GB2312" w:eastAsia="仿宋_GB2312"/>
                <w:sz w:val="21"/>
                <w:color w:val="000000"/>
              </w:rPr>
              <w:t>本项目主要建设内容：土方开挖回填、多孔砖砌筑、蒸压加气混凝土墙板安装、独立基础、基础梁、楼承板等浇筑，钢筋工程、细石混凝土屋面浇筑，排水管及变形缝施工，保温隔热屋面，水泥砂浆楼地面、块料楼地面、细石混凝土地面施工，不锈钢扶手栏杆安装，墙面一般抹灰、块料墙面，矿棉板吊顶，外墙乳胶漆，钢结构工程，给排水工程，弱电工程，消火栓工程，电气工程等。</w:t>
            </w:r>
          </w:p>
          <w:p>
            <w:pPr>
              <w:pStyle w:val="null3"/>
              <w:jc w:val="both"/>
            </w:pPr>
            <w:r>
              <w:rPr>
                <w:rFonts w:ascii="仿宋_GB2312" w:hAnsi="仿宋_GB2312" w:cs="仿宋_GB2312" w:eastAsia="仿宋_GB2312"/>
                <w:sz w:val="21"/>
                <w:color w:val="000000"/>
              </w:rPr>
              <w:t>二、编制依据</w:t>
            </w:r>
          </w:p>
          <w:p>
            <w:pPr>
              <w:pStyle w:val="null3"/>
              <w:ind w:firstLine="400"/>
              <w:jc w:val="both"/>
            </w:pPr>
            <w:r>
              <w:rPr>
                <w:rFonts w:ascii="仿宋_GB2312" w:hAnsi="仿宋_GB2312" w:cs="仿宋_GB2312" w:eastAsia="仿宋_GB2312"/>
                <w:sz w:val="21"/>
                <w:color w:val="000000"/>
              </w:rPr>
              <w:t>1、《陕西省住房和城乡建设厅关于印发2025陕西省建设工程费用规则等计价依据的通知》陕建管发〔2025〕10号文件；</w:t>
            </w:r>
          </w:p>
          <w:p>
            <w:pPr>
              <w:pStyle w:val="null3"/>
              <w:ind w:firstLine="400"/>
              <w:jc w:val="both"/>
            </w:pPr>
            <w:r>
              <w:rPr>
                <w:rFonts w:ascii="仿宋_GB2312" w:hAnsi="仿宋_GB2312" w:cs="仿宋_GB2312" w:eastAsia="仿宋_GB2312"/>
                <w:sz w:val="21"/>
                <w:color w:val="000000"/>
              </w:rPr>
              <w:t>2、《陕西省建设工程费用规则》（2025）、《建设工程工程量清单计价标准》（2025）、《房屋建筑与装修工程工程量计算标准》、《通用安装工程工程量计算标准》及其配套文件；</w:t>
            </w:r>
          </w:p>
          <w:p>
            <w:pPr>
              <w:pStyle w:val="null3"/>
              <w:ind w:firstLine="400"/>
              <w:jc w:val="both"/>
            </w:pPr>
            <w:r>
              <w:rPr>
                <w:rFonts w:ascii="仿宋_GB2312" w:hAnsi="仿宋_GB2312" w:cs="仿宋_GB2312" w:eastAsia="仿宋_GB2312"/>
                <w:sz w:val="21"/>
                <w:color w:val="000000"/>
              </w:rPr>
              <w:t>3、《陕西省房屋建筑与装饰工程消耗量定额》（2025）、《陕西省通用安装工程消耗量定额》（2025）、《陕西省建设工程施工机械台班费用定额》（2025）；</w:t>
            </w:r>
          </w:p>
          <w:p>
            <w:pPr>
              <w:pStyle w:val="null3"/>
              <w:ind w:firstLine="400"/>
              <w:jc w:val="both"/>
            </w:pPr>
            <w:r>
              <w:rPr>
                <w:rFonts w:ascii="仿宋_GB2312" w:hAnsi="仿宋_GB2312" w:cs="仿宋_GB2312" w:eastAsia="仿宋_GB2312"/>
                <w:sz w:val="21"/>
                <w:color w:val="000000"/>
              </w:rPr>
              <w:t>4、《陕西省房屋建筑与装饰工程基价表》（2025）、《陕西省通用安装工程基价表》（2025）；</w:t>
            </w:r>
          </w:p>
          <w:p>
            <w:pPr>
              <w:pStyle w:val="null3"/>
              <w:ind w:firstLine="400"/>
              <w:jc w:val="both"/>
            </w:pPr>
            <w:r>
              <w:rPr>
                <w:rFonts w:ascii="仿宋_GB2312" w:hAnsi="仿宋_GB2312" w:cs="仿宋_GB2312" w:eastAsia="仿宋_GB2312"/>
                <w:sz w:val="21"/>
                <w:color w:val="000000"/>
              </w:rPr>
              <w:t>5、广联达GCCP7.0编制。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三、商务要求（本项为实质性响应要求，不得负偏离）</w:t>
            </w:r>
          </w:p>
          <w:p>
            <w:pPr>
              <w:pStyle w:val="null3"/>
            </w:pPr>
            <w:r>
              <w:rPr>
                <w:rFonts w:ascii="仿宋_GB2312" w:hAnsi="仿宋_GB2312" w:cs="仿宋_GB2312" w:eastAsia="仿宋_GB2312"/>
                <w:sz w:val="21"/>
              </w:rPr>
              <w:t>1. 工期：120天。</w:t>
            </w:r>
          </w:p>
          <w:p>
            <w:pPr>
              <w:pStyle w:val="null3"/>
            </w:pPr>
            <w:r>
              <w:rPr>
                <w:rFonts w:ascii="仿宋_GB2312" w:hAnsi="仿宋_GB2312" w:cs="仿宋_GB2312" w:eastAsia="仿宋_GB2312"/>
                <w:sz w:val="21"/>
              </w:rPr>
              <w:t>2. 质量要求：合格。</w:t>
            </w:r>
          </w:p>
          <w:p>
            <w:pPr>
              <w:pStyle w:val="null3"/>
            </w:pPr>
            <w:r>
              <w:rPr>
                <w:rFonts w:ascii="仿宋_GB2312" w:hAnsi="仿宋_GB2312" w:cs="仿宋_GB2312" w:eastAsia="仿宋_GB2312"/>
                <w:sz w:val="21"/>
              </w:rPr>
              <w:t>3. 质量保修范围和保修期：质量保修范围：工程量清单全部内容 ；保修期：工程验收合格后2年（防水5年）。</w:t>
            </w:r>
          </w:p>
          <w:p>
            <w:pPr>
              <w:pStyle w:val="null3"/>
            </w:pPr>
            <w:r>
              <w:rPr>
                <w:rFonts w:ascii="仿宋_GB2312" w:hAnsi="仿宋_GB2312" w:cs="仿宋_GB2312" w:eastAsia="仿宋_GB2312"/>
                <w:sz w:val="21"/>
              </w:rPr>
              <w:t>4. 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sz w:val="21"/>
              </w:rPr>
              <w:t>5. 施工要求：</w:t>
            </w:r>
          </w:p>
          <w:p>
            <w:pPr>
              <w:pStyle w:val="null3"/>
            </w:pPr>
            <w:r>
              <w:rPr>
                <w:rFonts w:ascii="仿宋_GB2312" w:hAnsi="仿宋_GB2312" w:cs="仿宋_GB2312" w:eastAsia="仿宋_GB2312"/>
                <w:sz w:val="21"/>
              </w:rPr>
              <w:t>5.1 遵守国家相关法律、法规，遵守国家相关技术规范；</w:t>
            </w:r>
          </w:p>
          <w:p>
            <w:pPr>
              <w:pStyle w:val="null3"/>
            </w:pPr>
            <w:r>
              <w:rPr>
                <w:rFonts w:ascii="仿宋_GB2312" w:hAnsi="仿宋_GB2312" w:cs="仿宋_GB2312" w:eastAsia="仿宋_GB2312"/>
                <w:sz w:val="21"/>
              </w:rPr>
              <w:t>5.2 所选材料必须保证质量可靠、进货渠道正常，符合国家环保等相关标准，满足施工要求；</w:t>
            </w:r>
          </w:p>
          <w:p>
            <w:pPr>
              <w:pStyle w:val="null3"/>
            </w:pPr>
            <w:r>
              <w:rPr>
                <w:rFonts w:ascii="仿宋_GB2312" w:hAnsi="仿宋_GB2312" w:cs="仿宋_GB2312" w:eastAsia="仿宋_GB2312"/>
                <w:sz w:val="21"/>
              </w:rPr>
              <w:t>5.3 工程质量符合国家有关规范，确保达到合格；</w:t>
            </w:r>
          </w:p>
          <w:p>
            <w:pPr>
              <w:pStyle w:val="null3"/>
            </w:pPr>
            <w:r>
              <w:rPr>
                <w:rFonts w:ascii="仿宋_GB2312" w:hAnsi="仿宋_GB2312" w:cs="仿宋_GB2312" w:eastAsia="仿宋_GB2312"/>
                <w:sz w:val="21"/>
              </w:rPr>
              <w:t>5.4 遵守有关施工规范和安全操作规程，采取有效的安全保障措施，确保施工安全，并承担事故的全部费用和责任；</w:t>
            </w:r>
          </w:p>
          <w:p>
            <w:pPr>
              <w:pStyle w:val="null3"/>
            </w:pPr>
            <w:r>
              <w:rPr>
                <w:rFonts w:ascii="仿宋_GB2312" w:hAnsi="仿宋_GB2312" w:cs="仿宋_GB2312" w:eastAsia="仿宋_GB2312"/>
                <w:sz w:val="21"/>
              </w:rPr>
              <w:t>5.5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sz w:val="21"/>
              </w:rPr>
              <w:t>5.6 本工程不允许转包；</w:t>
            </w:r>
          </w:p>
          <w:p>
            <w:pPr>
              <w:pStyle w:val="null3"/>
            </w:pPr>
            <w:r>
              <w:rPr>
                <w:rFonts w:ascii="仿宋_GB2312" w:hAnsi="仿宋_GB2312" w:cs="仿宋_GB2312" w:eastAsia="仿宋_GB2312"/>
                <w:sz w:val="21"/>
              </w:rPr>
              <w:t>5.7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sz w:val="21"/>
              </w:rPr>
              <w:t>6.质量验收标准或规范：</w:t>
            </w:r>
          </w:p>
          <w:p>
            <w:pPr>
              <w:pStyle w:val="null3"/>
            </w:pPr>
            <w:r>
              <w:rPr>
                <w:rFonts w:ascii="仿宋_GB2312" w:hAnsi="仿宋_GB2312" w:cs="仿宋_GB2312" w:eastAsia="仿宋_GB2312"/>
                <w:sz w:val="21"/>
              </w:rPr>
              <w:t>6.1 国家现行有关法律、法规、环保和技术指标；</w:t>
            </w:r>
          </w:p>
          <w:p>
            <w:pPr>
              <w:pStyle w:val="null3"/>
            </w:pPr>
            <w:r>
              <w:rPr>
                <w:rFonts w:ascii="仿宋_GB2312" w:hAnsi="仿宋_GB2312" w:cs="仿宋_GB2312" w:eastAsia="仿宋_GB2312"/>
                <w:sz w:val="21"/>
              </w:rPr>
              <w:t>6.2 本项目施工合同；</w:t>
            </w:r>
          </w:p>
          <w:p>
            <w:pPr>
              <w:pStyle w:val="null3"/>
            </w:pPr>
            <w:r>
              <w:rPr>
                <w:rFonts w:ascii="仿宋_GB2312" w:hAnsi="仿宋_GB2312" w:cs="仿宋_GB2312" w:eastAsia="仿宋_GB2312"/>
                <w:sz w:val="21"/>
              </w:rPr>
              <w:t>6.3 经批准的设计文件及工程变更文件；</w:t>
            </w:r>
          </w:p>
          <w:p>
            <w:pPr>
              <w:pStyle w:val="null3"/>
            </w:pPr>
            <w:r>
              <w:rPr>
                <w:rFonts w:ascii="仿宋_GB2312" w:hAnsi="仿宋_GB2312" w:cs="仿宋_GB2312" w:eastAsia="仿宋_GB2312"/>
                <w:sz w:val="21"/>
              </w:rPr>
              <w:t>6.4 有关部政府部门的规定。</w:t>
            </w:r>
          </w:p>
          <w:p>
            <w:pPr>
              <w:pStyle w:val="null3"/>
            </w:pPr>
            <w:r>
              <w:rPr>
                <w:rFonts w:ascii="仿宋_GB2312" w:hAnsi="仿宋_GB2312" w:cs="仿宋_GB2312" w:eastAsia="仿宋_GB2312"/>
                <w:sz w:val="21"/>
              </w:rPr>
              <w:t>7.项目检验与验收：</w:t>
            </w:r>
          </w:p>
          <w:p>
            <w:pPr>
              <w:pStyle w:val="null3"/>
            </w:pPr>
            <w:r>
              <w:rPr>
                <w:rFonts w:ascii="仿宋_GB2312" w:hAnsi="仿宋_GB2312" w:cs="仿宋_GB2312" w:eastAsia="仿宋_GB2312"/>
                <w:sz w:val="21"/>
              </w:rPr>
              <w:t>7.1 成交供应商向采购人提交项目实施过程中的所有资料；</w:t>
            </w:r>
          </w:p>
          <w:p>
            <w:pPr>
              <w:pStyle w:val="null3"/>
            </w:pPr>
            <w:r>
              <w:rPr>
                <w:rFonts w:ascii="仿宋_GB2312" w:hAnsi="仿宋_GB2312" w:cs="仿宋_GB2312" w:eastAsia="仿宋_GB2312"/>
                <w:sz w:val="21"/>
              </w:rPr>
              <w:t>7.2 验收须以合同、磋商文件及响应文件、澄清、及国家相应的标准、规范等为依据。</w:t>
            </w:r>
          </w:p>
          <w:p>
            <w:pPr>
              <w:pStyle w:val="null3"/>
            </w:pPr>
            <w:r>
              <w:rPr>
                <w:rFonts w:ascii="仿宋_GB2312" w:hAnsi="仿宋_GB2312" w:cs="仿宋_GB2312" w:eastAsia="仿宋_GB2312"/>
                <w:sz w:val="21"/>
              </w:rPr>
              <w:t>8.合同的变更、中止、终止：合同一经签订，不得擅自变更、中止或者终止合同。对确需变更、调整或者中止、终止合同的，由双方协商解决。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sz w:val="21"/>
              </w:rPr>
              <w:t>9.合同争议的处理：合同在履行过程中发生的争议，当事人双方应协商解决，协商达不成一致时，可向采购方所在地仲裁委员会申请仲裁。</w:t>
            </w:r>
          </w:p>
          <w:p>
            <w:pPr>
              <w:pStyle w:val="null3"/>
            </w:pPr>
            <w:r>
              <w:rPr>
                <w:rFonts w:ascii="仿宋_GB2312" w:hAnsi="仿宋_GB2312" w:cs="仿宋_GB2312" w:eastAsia="仿宋_GB2312"/>
                <w:sz w:val="21"/>
              </w:rPr>
              <w:t>10.违约责任：</w:t>
            </w:r>
          </w:p>
          <w:p>
            <w:pPr>
              <w:pStyle w:val="null3"/>
            </w:pPr>
            <w:r>
              <w:rPr>
                <w:rFonts w:ascii="仿宋_GB2312" w:hAnsi="仿宋_GB2312" w:cs="仿宋_GB2312" w:eastAsia="仿宋_GB2312"/>
                <w:sz w:val="21"/>
              </w:rPr>
              <w:t>10.1 按《中华人民共和国政府采购法》《中华人民共和国民法典》中的相关条款执行；</w:t>
            </w:r>
          </w:p>
          <w:p>
            <w:pPr>
              <w:pStyle w:val="null3"/>
            </w:pPr>
            <w:r>
              <w:rPr>
                <w:rFonts w:ascii="仿宋_GB2312" w:hAnsi="仿宋_GB2312" w:cs="仿宋_GB2312" w:eastAsia="仿宋_GB2312"/>
                <w:sz w:val="21"/>
              </w:rPr>
              <w:t xml:space="preserve"> 10.2 未按要求提供货物、质量、环保标准不能满足技术要求的，施工方必须无条件更换，否则，采购单位有权终止合同，并对施工方的违约行为报监管机构进行相应的处罚。</w:t>
            </w:r>
          </w:p>
          <w:p>
            <w:pPr>
              <w:pStyle w:val="null3"/>
            </w:pPr>
            <w:r>
              <w:rPr>
                <w:rFonts w:ascii="仿宋_GB2312" w:hAnsi="仿宋_GB2312" w:cs="仿宋_GB2312" w:eastAsia="仿宋_GB2312"/>
                <w:sz w:val="21"/>
              </w:rPr>
              <w:t>11.合同支付约定：</w:t>
            </w:r>
          </w:p>
          <w:p>
            <w:pPr>
              <w:pStyle w:val="null3"/>
            </w:pPr>
            <w:r>
              <w:rPr>
                <w:rFonts w:ascii="仿宋_GB2312" w:hAnsi="仿宋_GB2312" w:cs="仿宋_GB2312" w:eastAsia="仿宋_GB2312"/>
                <w:sz w:val="21"/>
              </w:rPr>
              <w:t>11.1、 付款条件说明： 合同签订后 ，达到付款条件起 10 日内，支付合同总金额的 40.00%。</w:t>
            </w:r>
          </w:p>
          <w:p>
            <w:pPr>
              <w:pStyle w:val="null3"/>
            </w:pPr>
            <w:r>
              <w:rPr>
                <w:rFonts w:ascii="仿宋_GB2312" w:hAnsi="仿宋_GB2312" w:cs="仿宋_GB2312" w:eastAsia="仿宋_GB2312"/>
                <w:sz w:val="21"/>
              </w:rPr>
              <w:t>11.2、 付款条件说明： 在工程施工完成进度的 60%后 ，达到付款条件起 10 日内，支付合同总金额的 20.00%。</w:t>
            </w:r>
          </w:p>
          <w:p>
            <w:pPr>
              <w:pStyle w:val="null3"/>
            </w:pPr>
            <w:r>
              <w:rPr>
                <w:rFonts w:ascii="仿宋_GB2312" w:hAnsi="仿宋_GB2312" w:cs="仿宋_GB2312" w:eastAsia="仿宋_GB2312"/>
                <w:sz w:val="21"/>
              </w:rPr>
              <w:t>11.3、 付款条件说明： 工程完工后经甲方初步验收合格后 ，达到付款条件起 10 日内，支付合同总金额的 35.00%。</w:t>
            </w:r>
          </w:p>
          <w:p>
            <w:pPr>
              <w:pStyle w:val="null3"/>
            </w:pPr>
            <w:r>
              <w:rPr>
                <w:rFonts w:ascii="仿宋_GB2312" w:hAnsi="仿宋_GB2312" w:cs="仿宋_GB2312" w:eastAsia="仿宋_GB2312"/>
                <w:sz w:val="21"/>
              </w:rPr>
              <w:t>11.4、 付款条件说明： 项目竣工验收审计后 ，达到付款条件起 10 日内，支付合同总金额的 5.00%。</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1.特别注意:为顺利推进政府采购电子化交易平台应用工作，供应商需要在线提交所有通过电子化交易平台实施的政府采购项目的响应文件。 2.成交供应商在采购结果发布后3个工作日内向代理机构提交纸质版响应文件以便于存档，响应文件正本1份，副本2份（可以使用签章文件直接打印），电子版文件2份（以U盘为载体，电子版内容为签字盖章扫描后的PDF版本响应文件）。线下递交响应文件地点：汉中市南郑区南郑大道南300米（南郑工业园区管委会二楼）。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磋商活动全过程，其中法定代表人直接参加磋商活动的，应出具法定代表人证明书及法定代表人合法有效的身份证扫描件，且应与营业执照上信息一致；法定代表人授权代表参加磋商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供应商须具有行业主管部门颁发的建筑工程施工总承包三级及以上资质，并具有有效的安全生产许可证。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拟派本项目的项目经理须具备建筑工程专业二级及以上注册建造师，并具有有效的安全生产考核合格证书，且无在建工程(出具无在建承诺书）。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供应商类似项目业绩一览表.docx 中小企业声明函 商务要求应答表.docx 响应文件封面 供应商应提交的相关资格证明材料.docx 强制优先采购产品承诺函.docx 残疾人福利性单位声明函 报价函 标的清单 拟派项目团队人员配置表.docx 项目经理简历表.docx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供应商类似项目业绩一览表.docx 中小企业声明函 商务要求应答表.docx 响应文件封面 供应商应提交的相关资格证明材料.docx 强制优先采购产品承诺函.docx 残疾人福利性单位声明函 总实施方案.docx 报价函 标的清单 拟派项目团队人员配置表.docx 项目经理简历表.docx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节能产品（强制采购）</w:t>
            </w:r>
          </w:p>
        </w:tc>
        <w:tc>
          <w:tcPr>
            <w:tcW w:type="dxa" w:w="3322"/>
          </w:tcPr>
          <w:p>
            <w:pPr>
              <w:pStyle w:val="null3"/>
            </w:pPr>
            <w:r>
              <w:rPr>
                <w:rFonts w:ascii="仿宋_GB2312" w:hAnsi="仿宋_GB2312" w:cs="仿宋_GB2312" w:eastAsia="仿宋_GB2312"/>
              </w:rPr>
              <w:t>承诺函符合磋商文件要求</w:t>
            </w:r>
          </w:p>
        </w:tc>
        <w:tc>
          <w:tcPr>
            <w:tcW w:type="dxa" w:w="1661"/>
          </w:tcPr>
          <w:p>
            <w:pPr>
              <w:pStyle w:val="null3"/>
            </w:pPr>
            <w:r>
              <w:rPr>
                <w:rFonts w:ascii="仿宋_GB2312" w:hAnsi="仿宋_GB2312" w:cs="仿宋_GB2312" w:eastAsia="仿宋_GB2312"/>
              </w:rPr>
              <w:t>强制优先采购产品承诺函.docx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1.完整性：对上述各项内容均有描述，得2分；每缺1项扣0.5分，扣完为止。此项不提供不得分。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1.完整性：对上述各项内容均有描述，得1分；每缺1项扣0.5分，扣完为止。此项不提供不得分。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紧急预案措施</w:t>
            </w:r>
          </w:p>
        </w:tc>
        <w:tc>
          <w:tcPr>
            <w:tcW w:type="dxa" w:w="2492"/>
          </w:tcPr>
          <w:p>
            <w:pPr>
              <w:pStyle w:val="null3"/>
            </w:pPr>
            <w:r>
              <w:rPr>
                <w:rFonts w:ascii="仿宋_GB2312" w:hAnsi="仿宋_GB2312" w:cs="仿宋_GB2312" w:eastAsia="仿宋_GB2312"/>
              </w:rPr>
              <w:t>一、评审内容：针对本项目制定紧急预案措施进行评审。 二、赋分标准： 1.完整性：对上述内容有描述，得1分；不提供不得分。 2.针对性：上述内容针对性明确得2分；针对性较明确得1分；缺乏针对性得0分。此项不提供不得分。 3.可实施性：上述各项内容可实施性合理得2分；可实施性较合理得1分；缺乏可实施性得0分。此项不提供不得分。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2.针对性：上述内容针对性明确得2分；针对性较明确，每项内容得1分；缺乏针对性，每项内容得0分。此项不提供不得分。 3.可实施性：上述内容可实施性合理得2分；可实施性较合理，每项内容得1分；缺乏可实施性，每项内容得0分。此项不提供不得分。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2.针对性：上述内容针对性明确得2分；针对性较明确得1分；缺乏针对性得0分。此项不提供不得分。 3.可实施性：上述内容可实施性合理得2分；可实施性较合理得1分；缺乏可实施性得0分。此项不提供不得分。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一、评审内容：供应商针对本项目特点提供切实可行的施工安全承诺、文明施工承诺、施工质量保证承诺、工期保证承诺、施工环境承诺，保证按时按质按量完成本项目。 二、赋分标准：每提供一项承诺得1分，满分5分。未提供此项内容不得分。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 所配备项目技术负责人、施工员、质检员、安全员、材料员，具备相关专业技术职称或岗位证书。 二、评审标准： 全部满足得 5 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一、评审内容：项目经理具备建筑工程相关专业职称证。二、评审标准：中级及以上职称得2分，其他不得分。响应文件内附职称证复印件并签章。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一、评审内容：供应商提供2024年4月至今完成的类似项目业绩。 二、赋分标准：每提供一个合格业绩得1.5分，满分3分。未提供此项内容不得分。 注：业绩以中标（成交）通知书和合同（协议书)为准，响应文件内附复印件并签章。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1.上限为采购最高限价，即报价大于上限价视为无效报价； 2.以满足本次磋商文件要求的最低报价为评审基准价，其价格为满分； 3.磋商供应商报价得分=（评审基准价/最终报价）×30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详见附件：强制优先采购产品承诺函.docx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