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版本号：YD-202601220260408001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陕西米仓山国家级自然保护区管理局（龙池林场）2026年森林病虫害防控实施项目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YD-2026012</w:t>
      </w:r>
      <w:r>
        <w:br/>
      </w:r>
      <w:r>
        <w:br/>
      </w:r>
      <w:r>
        <w:br/>
      </w:r>
    </w:p>
    <w:p>
      <w:pPr>
        <w:pStyle w:val="null3"/>
        <w:jc w:val="center"/>
        <w:outlineLvl w:val="2"/>
      </w:pPr>
      <w:r>
        <w:rPr>
          <w:rFonts w:ascii="仿宋_GB2312" w:hAnsi="仿宋_GB2312" w:cs="仿宋_GB2312" w:eastAsia="仿宋_GB2312"/>
          <w:sz w:val="28"/>
          <w:b/>
        </w:rPr>
        <w:t>陕西米仓山国家级自然保护区管理局(西乡县龙池林场）</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陕西米仓山国家级自然保护区管理局(西乡县龙池林场）</w:t>
      </w:r>
      <w:r>
        <w:rPr>
          <w:rFonts w:ascii="仿宋_GB2312" w:hAnsi="仿宋_GB2312" w:cs="仿宋_GB2312" w:eastAsia="仿宋_GB2312"/>
        </w:rPr>
        <w:t>委托，拟对</w:t>
      </w:r>
      <w:r>
        <w:rPr>
          <w:rFonts w:ascii="仿宋_GB2312" w:hAnsi="仿宋_GB2312" w:cs="仿宋_GB2312" w:eastAsia="仿宋_GB2312"/>
        </w:rPr>
        <w:t>陕西米仓山国家级自然保护区管理局（龙池林场）2026年森林病虫害防控实施项目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陕西米仓山国家级自然保护区管理局（龙池林场）2026年森林病虫害防控实施项目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陕西米仓山国家级自然保护区管理局(龙池林场)2026年森林病虫害防控实施项目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采购包1（陕西米仓山国家级自然保护区管理局（龙池林场）2026年森林病虫害防控实施项目）：属于专门面向中小企业采购。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5、资质要求：供应商须具备陕西省林学会颁发的林业有害生物防治(应急防治专业队)丙级及以上资质证书；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陕西米仓山国家级自然保护区管理局(西乡县龙池林场）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西乡县樱花大道龙池林场综合楼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15529559297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 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陕西米仓山国家级自然保护区管理局(西乡县龙池林场）</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陕西米仓山国家级自然保护区管理局(西乡县龙池林场）</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陕西米仓山国家级自然保护区管理局(西乡县龙池林场）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防治媒介昆虫4000亩，伐除清理枯死松树165株。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355,800.00</w:t>
      </w:r>
    </w:p>
    <w:p>
      <w:pPr>
        <w:pStyle w:val="null3"/>
      </w:pPr>
      <w:r>
        <w:rPr>
          <w:rFonts w:ascii="仿宋_GB2312" w:hAnsi="仿宋_GB2312" w:cs="仿宋_GB2312" w:eastAsia="仿宋_GB2312"/>
        </w:rPr>
        <w:t>采购包最高限价（元）: 355,800.00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355,800.00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技术参数与性能指标</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1、采购内容</w:t>
                  </w:r>
                </w:p>
                <w:p>
                  <w:pPr>
                    <w:pStyle w:val="null3"/>
                    <w:ind w:firstLine="480"/>
                    <w:jc w:val="both"/>
                  </w:pPr>
                  <w:r>
                    <w:rPr>
                      <w:rFonts w:ascii="仿宋_GB2312" w:hAnsi="仿宋_GB2312" w:cs="仿宋_GB2312" w:eastAsia="仿宋_GB2312"/>
                      <w:sz w:val="18"/>
                    </w:rPr>
                    <w:t>防治媒介昆虫4000亩，每亩喷杀虫药2次，伐除清理一般枯死树165株。包括工具、燃料、伐除、焚烧、伐桩处理等所有费用。</w:t>
                  </w:r>
                </w:p>
                <w:p>
                  <w:pPr>
                    <w:pStyle w:val="null3"/>
                    <w:jc w:val="both"/>
                  </w:pPr>
                  <w:r>
                    <w:rPr>
                      <w:rFonts w:ascii="仿宋_GB2312" w:hAnsi="仿宋_GB2312" w:cs="仿宋_GB2312" w:eastAsia="仿宋_GB2312"/>
                      <w:sz w:val="18"/>
                    </w:rPr>
                    <w:t>2、主要技术措施</w:t>
                  </w:r>
                </w:p>
                <w:p>
                  <w:pPr>
                    <w:pStyle w:val="null3"/>
                    <w:ind w:firstLine="240"/>
                    <w:jc w:val="both"/>
                  </w:pPr>
                  <w:r>
                    <w:rPr>
                      <w:rFonts w:ascii="仿宋_GB2312" w:hAnsi="仿宋_GB2312" w:cs="仿宋_GB2312" w:eastAsia="仿宋_GB2312"/>
                      <w:sz w:val="18"/>
                    </w:rPr>
                    <w:t>2.1. 疫木采伐。发现枯死、濒死松树及时进行集中除治清理和“即死即清”,按技术标准要求彻底销毁疫木，做到随发现随除治、应除尽除。</w:t>
                  </w:r>
                </w:p>
                <w:p>
                  <w:pPr>
                    <w:pStyle w:val="null3"/>
                    <w:ind w:firstLine="240"/>
                    <w:jc w:val="both"/>
                  </w:pPr>
                  <w:r>
                    <w:rPr>
                      <w:rFonts w:ascii="仿宋_GB2312" w:hAnsi="仿宋_GB2312" w:cs="仿宋_GB2312" w:eastAsia="仿宋_GB2312"/>
                      <w:sz w:val="18"/>
                    </w:rPr>
                    <w:t>2.2. 疫木销毁。结合我县地形及疫点分布情况，疫木采用烧毁处理的方式。疫木伐倒后，将主干切割成1—2m长的段木，对直径1cm以上的枝桠、树皮和厚度1cm以上的木块必须全部清理集中就近及时进行除害处理(集中除治时期，需要在媒介昆虫羽化前全部处置完毕；即死即清时，必须按照当日采伐当日销毁的要求进行处置),并实行全过程现场监管，确保烧毁彻底和用火安全。</w:t>
                  </w:r>
                </w:p>
                <w:p>
                  <w:pPr>
                    <w:pStyle w:val="null3"/>
                    <w:ind w:firstLine="240"/>
                    <w:jc w:val="both"/>
                  </w:pPr>
                  <w:r>
                    <w:rPr>
                      <w:rFonts w:ascii="仿宋_GB2312" w:hAnsi="仿宋_GB2312" w:cs="仿宋_GB2312" w:eastAsia="仿宋_GB2312"/>
                      <w:sz w:val="18"/>
                    </w:rPr>
                    <w:t>2.3. 伐桩处理。疫木伐倒后，要立即处理伐桩，其高度距离地面不得超过5cm,剥去伐桩树皮，在伐桩上放置磷化铝片1—2粒，用0.1毫米以上厚度的塑料薄膜覆盖，绑紧后用土将塑料薄膜四周压实，主要进行密封熏蒸，杀灭松材线虫、松褐天牛，清除伐桩病源和媒介昆虫。或剥去伐桩树皮，使用钢丝直径≥0.12毫米，网目数≥20目的锻压钢丝网罩覆盖伐桩，并将钢丝网罩严密固定在伐桩上。</w:t>
                  </w:r>
                </w:p>
                <w:p>
                  <w:pPr>
                    <w:pStyle w:val="null3"/>
                    <w:ind w:firstLine="240"/>
                    <w:jc w:val="both"/>
                  </w:pPr>
                  <w:r>
                    <w:rPr>
                      <w:rFonts w:ascii="仿宋_GB2312" w:hAnsi="仿宋_GB2312" w:cs="仿宋_GB2312" w:eastAsia="仿宋_GB2312"/>
                      <w:sz w:val="18"/>
                    </w:rPr>
                    <w:t>2.4. 档案管理。建立松材线虫病疫情除治地块、除治范围、施工责任、松材线虫病疫木清理销毁、伐桩处理等工作台账，建立各除治小班的松材线虫病疫木除治前和除治过程的疫木烧毁、伐桩处理影像资料和纸质资料及施工日志备查，严禁砍伐松树转移地点或烧毁不彻底的现象发生，确保各级检查验收合格。</w:t>
                  </w:r>
                </w:p>
                <w:p>
                  <w:pPr>
                    <w:pStyle w:val="null3"/>
                    <w:jc w:val="both"/>
                  </w:pPr>
                  <w:r>
                    <w:rPr>
                      <w:rFonts w:ascii="仿宋_GB2312" w:hAnsi="仿宋_GB2312" w:cs="仿宋_GB2312" w:eastAsia="仿宋_GB2312"/>
                      <w:sz w:val="18"/>
                    </w:rPr>
                    <w:t>3、防控措施</w:t>
                  </w:r>
                </w:p>
                <w:p>
                  <w:pPr>
                    <w:pStyle w:val="null3"/>
                    <w:ind w:firstLine="480"/>
                    <w:jc w:val="both"/>
                  </w:pPr>
                  <w:r>
                    <w:rPr>
                      <w:rFonts w:ascii="仿宋_GB2312" w:hAnsi="仿宋_GB2312" w:cs="仿宋_GB2312" w:eastAsia="仿宋_GB2312"/>
                      <w:sz w:val="18"/>
                    </w:rPr>
                    <w:t>针对松林发生松木枯死情况采取“清理枯死松树”为核心，以媒介昆虫药剂防治为主要措施，在6月底前按照“动态清零”、“及死及清”要求组织人员对发现的枯死松树进行全面伐除，在6月中下旬及8月中下旬对现有松林开展防治媒介昆虫。</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达到“三彻底一规范”的目标要求，即疫木除治彻底、山场清理彻底、伐倒疫木销毁彻底、伐桩处理规范。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依照有关规定签订采购合同，项目验收（可以根据实际情况开展集中除治阶段验收）支付合同费用，具体情况依据合同执行 </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文结果公示后:成文供应商向代理机构提交纸质投标文件叁份、分别胶装，加盖骑缝章，电子版U盘贰份:内容和通过电子化文易平台实施的政府采购项目提文的投标文件一致。2、保证金若以金融机构、担保机构出具的保函形式则须在开标前一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供应商须具备陕西省林学会颁发的林业有害生物防治(应急防治专业队)丙级及以上资质证书；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3.政府采购评审中出现下列情形之一的，磋商小组应当启动异常低价投标（响应）审查程序：3.1.投标（响应）报价低于全部通 过符合性审查供应商投标（响应）报价平均值5 0%的，即投标（响应）报价&lt;全部通过符合性 审查供应商投标（响应）报价平均值×50%；3.2.投标（响应）报价低于通过符合性审查的次 低报价供应商投标（响应）报价50%的，即投标（响应）报价&lt;通过符合性审查的次低报价供 应商投标（响应）报价×50%；3.3.投标（响 应）报价低于采购项目最高限价45%的，即投标（响应）报价&lt;采购项目最高限价×45%；3.4.磋商小组基于专业判断，认为供应商报价过低，有可能影响产品质量或者不能诚信履约 的其他情形。采购人可以结合具体项目实际情况，提高上述第3.1项至第3.3项中启动异常低价投标（响应）审查的数值标准，但是最高不得超过65%。相关法律法规对供应商报价有规定的，从其规定。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提出适用于本项目的项目团队人员配置方案，包括但不限于①团队组织人员配置明细；②团队人员管理制度；③各专业岗位配置；④配置人员相关证书证件及工作经验；⑤提供人员到场及不更换人员承诺。 以上各项内容全面明确、阐述条理清晰得10分，每缺一项扣2分，每项中的内容存在缺陷，扣0.1-1.9分，扣完为止。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工器具配置</w:t>
            </w:r>
          </w:p>
        </w:tc>
        <w:tc>
          <w:tcPr>
            <w:tcW w:type="dxa" w:w="2492"/>
          </w:tcPr>
          <w:p>
            <w:pPr>
              <w:pStyle w:val="null3"/>
            </w:pPr>
            <w:r>
              <w:rPr>
                <w:rFonts w:ascii="仿宋_GB2312" w:hAnsi="仿宋_GB2312" w:cs="仿宋_GB2312" w:eastAsia="仿宋_GB2312"/>
              </w:rPr>
              <w:t>供应商针对本项目投入的工器具配置方案，包括但不限于：①工器具配置清单及供应保障措施；②工器具维护方案。 以上各项内容全面明确、阐述条理清晰得5分，每缺一项扣2.5分，每项中的内容存在缺陷，扣0.1-2.4分，扣完为止。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后期服务方案及承诺</w:t>
            </w:r>
          </w:p>
        </w:tc>
        <w:tc>
          <w:tcPr>
            <w:tcW w:type="dxa" w:w="2492"/>
          </w:tcPr>
          <w:p>
            <w:pPr>
              <w:pStyle w:val="null3"/>
            </w:pPr>
            <w:r>
              <w:rPr>
                <w:rFonts w:ascii="仿宋_GB2312" w:hAnsi="仿宋_GB2312" w:cs="仿宋_GB2312" w:eastAsia="仿宋_GB2312"/>
              </w:rPr>
              <w:t>供应商针对本项目提出适用于本项目的后期服务方案及承诺，包括但不限于：①服务网点固定场所（服务人员名单、职责和联系方式）；②后期服务方案及承诺。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总体实施方案；③具体作业方法（疫木伐除、伐桩控制、疫木销毁、林地清理等）；④安全规范作业（用火安全、伐木安全、用工安全等）；⑤建立除治台账及工作图片和影像资料的的档案管理。 以上各项内容全面明确、阐述条理清晰得20分，每缺一项扣4分，每项中的内容存在缺陷，扣0.1-3.9分，扣完为止。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供应商针对本项目提出适用于本项目的实施进度方案，包括但不限于:①进度计划表；②进度保障的具体措施。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供应商针对本项目提出适用于本项目的质量保证方案。包括但不限于：①质量保证体系；②质量保证的具体措施。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野外安全保证措施</w:t>
            </w:r>
          </w:p>
        </w:tc>
        <w:tc>
          <w:tcPr>
            <w:tcW w:type="dxa" w:w="2492"/>
          </w:tcPr>
          <w:p>
            <w:pPr>
              <w:pStyle w:val="null3"/>
            </w:pPr>
            <w:r>
              <w:rPr>
                <w:rFonts w:ascii="仿宋_GB2312" w:hAnsi="仿宋_GB2312" w:cs="仿宋_GB2312" w:eastAsia="仿宋_GB2312"/>
              </w:rPr>
              <w:t>供应商针对本项目提出适用于本项目的野外作业安全措施及应急管理方案，包括但不限于:①森林防火措施；②野外作业应急措施。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生物多样性保护与环境保护措施</w:t>
            </w:r>
          </w:p>
        </w:tc>
        <w:tc>
          <w:tcPr>
            <w:tcW w:type="dxa" w:w="2492"/>
          </w:tcPr>
          <w:p>
            <w:pPr>
              <w:pStyle w:val="null3"/>
            </w:pPr>
            <w:r>
              <w:rPr>
                <w:rFonts w:ascii="仿宋_GB2312" w:hAnsi="仿宋_GB2312" w:cs="仿宋_GB2312" w:eastAsia="仿宋_GB2312"/>
              </w:rPr>
              <w:t>供应商针对本项目提出适用于本项目的生物多样性与环境保护措施，包括但不限于:①生物多样性保护措施；②环境保护措施。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3、供应商报价得分=（评标基准价/投标报价）×10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