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版本号：2025-（230）1358-CG（35）8120251015001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2025年勉县武侯镇艾叶制品生产加工建设项目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2025-（230）1358-CG（35）81</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陕西汇鑫林丰项目管理有限责任公司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陕西汇鑫林丰项目管理有限责任公司</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2025年勉县武侯镇艾叶制品生产加工建设项目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2025-（230）1358-CG（35）81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2025年勉县武侯镇艾叶制品生产加工建设项目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本项目建设地点位于勉县武侯镇，主要建设内容：改造提升生产车间616平方米，改建堆料储存车间240平方米，改建生产房屋 368平方米等，具体内容详见工程量清单。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采购包1（2025年勉县武侯镇艾叶制品生产加工建设项目）：属于专门面向中小企业采购。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5）供应商资质基本信息及项目经理执业基本信息应在“陕西省住房和城乡建设厅（http://js.shaanxi.gov.cn/）－陕西省建筑市场监管与诚信信息发布平台可查询，提供相关网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18292650936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陕西汇鑫林丰项目管理有限责任公司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陕西省汉中市汉台区东一环路盛世国际写字楼2107号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0916-8820189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开户名称：陕西汇鑫林丰项目管理有限责任公司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银行账号：61050165500000000788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说明：签订合同前缴纳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陕西汇鑫林丰项目管理有限责任公司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陕西汇鑫林丰项目管理有限责任公司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勉县武侯镇人民政府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陕西汇鑫林丰项目管理有限责任公司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联系电话：0916-8820189</w:t>
      </w:r>
    </w:p>
    <w:p>
      <w:pPr>
        <w:pStyle w:val="null3"/>
      </w:pPr>
      <w:r>
        <w:rPr>
          <w:rFonts w:ascii="仿宋_GB2312" w:hAnsi="仿宋_GB2312" w:cs="仿宋_GB2312" w:eastAsia="仿宋_GB2312"/>
        </w:rPr>
        <w:t>地址：陕西省汉中市汉台区东一环路盛世国际写字楼2107号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2025年勉县武侯镇艾叶制品生产加工建设项目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标的名称：2025年勉县武侯镇艾叶制品生产加工建设项目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一、工程概况：</w:t>
            </w:r>
          </w:p>
          <w:p>
            <w:pPr>
              <w:pStyle w:val="null3"/>
              <w:jc w:val="both"/>
            </w:pPr>
            <w:r>
              <w:rPr>
                <w:rFonts w:ascii="仿宋_GB2312" w:hAnsi="仿宋_GB2312" w:cs="仿宋_GB2312" w:eastAsia="仿宋_GB2312"/>
                <w:sz w:val="21"/>
              </w:rPr>
              <w:t>本项目建设地点位于勉县武侯镇，主要建设内容：改造提升生产车间</w:t>
            </w:r>
            <w:r>
              <w:rPr>
                <w:rFonts w:ascii="仿宋_GB2312" w:hAnsi="仿宋_GB2312" w:cs="仿宋_GB2312" w:eastAsia="仿宋_GB2312"/>
                <w:sz w:val="21"/>
              </w:rPr>
              <w:t>616</w:t>
            </w:r>
            <w:r>
              <w:rPr>
                <w:rFonts w:ascii="仿宋_GB2312" w:hAnsi="仿宋_GB2312" w:cs="仿宋_GB2312" w:eastAsia="仿宋_GB2312"/>
                <w:sz w:val="21"/>
              </w:rPr>
              <w:t>平方米，改建堆料储存车间</w:t>
            </w:r>
            <w:r>
              <w:rPr>
                <w:rFonts w:ascii="仿宋_GB2312" w:hAnsi="仿宋_GB2312" w:cs="仿宋_GB2312" w:eastAsia="仿宋_GB2312"/>
                <w:sz w:val="21"/>
              </w:rPr>
              <w:t>240</w:t>
            </w:r>
            <w:r>
              <w:rPr>
                <w:rFonts w:ascii="仿宋_GB2312" w:hAnsi="仿宋_GB2312" w:cs="仿宋_GB2312" w:eastAsia="仿宋_GB2312"/>
                <w:sz w:val="21"/>
              </w:rPr>
              <w:t xml:space="preserve">平方米，改建生产房屋 </w:t>
            </w:r>
            <w:r>
              <w:rPr>
                <w:rFonts w:ascii="仿宋_GB2312" w:hAnsi="仿宋_GB2312" w:cs="仿宋_GB2312" w:eastAsia="仿宋_GB2312"/>
                <w:sz w:val="21"/>
              </w:rPr>
              <w:t>368</w:t>
            </w:r>
            <w:r>
              <w:rPr>
                <w:rFonts w:ascii="仿宋_GB2312" w:hAnsi="仿宋_GB2312" w:cs="仿宋_GB2312" w:eastAsia="仿宋_GB2312"/>
                <w:sz w:val="21"/>
              </w:rPr>
              <w:t>平方米等，具体内容详见工程量清单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二、编制依据：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、由建设单位提供的的《</w:t>
            </w:r>
            <w:r>
              <w:rPr>
                <w:rFonts w:ascii="仿宋_GB2312" w:hAnsi="仿宋_GB2312" w:cs="仿宋_GB2312" w:eastAsia="仿宋_GB2312"/>
                <w:sz w:val="21"/>
              </w:rPr>
              <w:t>2025</w:t>
            </w:r>
            <w:r>
              <w:rPr>
                <w:rFonts w:ascii="仿宋_GB2312" w:hAnsi="仿宋_GB2312" w:cs="仿宋_GB2312" w:eastAsia="仿宋_GB2312"/>
                <w:sz w:val="21"/>
              </w:rPr>
              <w:t>年勉县武侯镇艾叶制品生产加工建设项目》设计图纸。</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《陕西省</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计价标准</w:t>
            </w:r>
            <w:r>
              <w:rPr>
                <w:rFonts w:ascii="仿宋_GB2312" w:hAnsi="仿宋_GB2312" w:cs="仿宋_GB2312" w:eastAsia="仿宋_GB2312"/>
                <w:sz w:val="21"/>
              </w:rPr>
              <w:t>》、</w:t>
            </w:r>
            <w:r>
              <w:rPr>
                <w:rFonts w:ascii="仿宋_GB2312" w:hAnsi="仿宋_GB2312" w:cs="仿宋_GB2312" w:eastAsia="仿宋_GB2312"/>
                <w:sz w:val="21"/>
              </w:rPr>
              <w:t>《陕西省市政、园林绿化工程基价表》</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《陕西省房屋建筑与装饰工程基价表</w:t>
            </w:r>
            <w:r>
              <w:rPr>
                <w:rFonts w:ascii="仿宋_GB2312" w:hAnsi="仿宋_GB2312" w:cs="仿宋_GB2312" w:eastAsia="仿宋_GB2312"/>
                <w:sz w:val="21"/>
              </w:rPr>
              <w:t>(2025)</w:t>
            </w:r>
            <w:r>
              <w:rPr>
                <w:rFonts w:ascii="仿宋_GB2312" w:hAnsi="仿宋_GB2312" w:cs="仿宋_GB2312" w:eastAsia="仿宋_GB2312"/>
                <w:sz w:val="21"/>
              </w:rPr>
              <w:t>》及其他相关计价依据和办法；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、主要材料价格依据《</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8</w:t>
            </w:r>
            <w:r>
              <w:rPr>
                <w:rFonts w:ascii="仿宋_GB2312" w:hAnsi="仿宋_GB2312" w:cs="仿宋_GB2312" w:eastAsia="仿宋_GB2312"/>
                <w:sz w:val="21"/>
              </w:rPr>
              <w:t>月汉中建设工程造价信息》</w:t>
            </w:r>
            <w:r>
              <w:rPr>
                <w:rFonts w:ascii="仿宋_GB2312" w:hAnsi="仿宋_GB2312" w:cs="仿宋_GB2312" w:eastAsia="仿宋_GB2312"/>
                <w:sz w:val="21"/>
              </w:rPr>
              <w:t>以及参考当地市场价</w:t>
            </w:r>
            <w:r>
              <w:rPr>
                <w:rFonts w:ascii="仿宋_GB2312" w:hAnsi="仿宋_GB2312" w:cs="仿宋_GB2312" w:eastAsia="仿宋_GB2312"/>
                <w:sz w:val="21"/>
              </w:rPr>
              <w:t>计入；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、广联达计价软件</w:t>
            </w:r>
            <w:r>
              <w:rPr>
                <w:rFonts w:ascii="仿宋_GB2312" w:hAnsi="仿宋_GB2312" w:cs="仿宋_GB2312" w:eastAsia="仿宋_GB2312"/>
                <w:sz w:val="21"/>
              </w:rPr>
              <w:t>GCCP</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三、相关问题说明：</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、土方运距暂定</w:t>
            </w:r>
            <w:r>
              <w:rPr>
                <w:rFonts w:ascii="仿宋_GB2312" w:hAnsi="仿宋_GB2312" w:cs="仿宋_GB2312" w:eastAsia="仿宋_GB2312"/>
                <w:sz w:val="21"/>
              </w:rPr>
              <w:t>10km</w:t>
            </w:r>
            <w:r>
              <w:rPr>
                <w:rFonts w:ascii="仿宋_GB2312" w:hAnsi="仿宋_GB2312" w:cs="仿宋_GB2312" w:eastAsia="仿宋_GB2312"/>
                <w:sz w:val="21"/>
              </w:rPr>
              <w:t>，结算时按实调整；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、拆除原木结构屋面暂定</w:t>
            </w:r>
            <w:r>
              <w:rPr>
                <w:rFonts w:ascii="仿宋_GB2312" w:hAnsi="仿宋_GB2312" w:cs="仿宋_GB2312" w:eastAsia="仿宋_GB2312"/>
                <w:sz w:val="21"/>
              </w:rPr>
              <w:t>60</w:t>
            </w:r>
            <w:r>
              <w:rPr>
                <w:rFonts w:ascii="仿宋_GB2312" w:hAnsi="仿宋_GB2312" w:cs="仿宋_GB2312" w:eastAsia="仿宋_GB2312"/>
                <w:sz w:val="21"/>
              </w:rPr>
              <w:t>元</w:t>
            </w:r>
            <w:r>
              <w:rPr>
                <w:rFonts w:ascii="仿宋_GB2312" w:hAnsi="仿宋_GB2312" w:cs="仿宋_GB2312" w:eastAsia="仿宋_GB2312"/>
                <w:sz w:val="21"/>
              </w:rPr>
              <w:t>/m2</w:t>
            </w:r>
            <w:r>
              <w:rPr>
                <w:rFonts w:ascii="仿宋_GB2312" w:hAnsi="仿宋_GB2312" w:cs="仿宋_GB2312" w:eastAsia="仿宋_GB2312"/>
                <w:sz w:val="21"/>
              </w:rPr>
              <w:t>，结算时按实调整；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、除生产车间垃圾外运暂定</w:t>
            </w:r>
            <w:r>
              <w:rPr>
                <w:rFonts w:ascii="仿宋_GB2312" w:hAnsi="仿宋_GB2312" w:cs="仿宋_GB2312" w:eastAsia="仿宋_GB2312"/>
                <w:sz w:val="21"/>
              </w:rPr>
              <w:t>10000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项，其余</w:t>
            </w:r>
            <w:r>
              <w:rPr>
                <w:rFonts w:ascii="仿宋_GB2312" w:hAnsi="仿宋_GB2312" w:cs="仿宋_GB2312" w:eastAsia="仿宋_GB2312"/>
                <w:sz w:val="21"/>
              </w:rPr>
              <w:t>3</w:t>
            </w:r>
            <w:r>
              <w:rPr>
                <w:rFonts w:ascii="仿宋_GB2312" w:hAnsi="仿宋_GB2312" w:cs="仿宋_GB2312" w:eastAsia="仿宋_GB2312"/>
                <w:sz w:val="21"/>
              </w:rPr>
              <w:t>处建筑，垃圾外运暂定</w:t>
            </w:r>
            <w:r>
              <w:rPr>
                <w:rFonts w:ascii="仿宋_GB2312" w:hAnsi="仿宋_GB2312" w:cs="仿宋_GB2312" w:eastAsia="仿宋_GB2312"/>
                <w:sz w:val="21"/>
              </w:rPr>
              <w:t>5000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项，结算时按实调整；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、卫生间洁具及给排水系统、室外排污系统暂定</w:t>
            </w:r>
            <w:r>
              <w:rPr>
                <w:rFonts w:ascii="仿宋_GB2312" w:hAnsi="仿宋_GB2312" w:cs="仿宋_GB2312" w:eastAsia="仿宋_GB2312"/>
                <w:sz w:val="21"/>
              </w:rPr>
              <w:t>45000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项，结算时按实调整；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、暂列金额</w:t>
            </w:r>
            <w:r>
              <w:rPr>
                <w:rFonts w:ascii="仿宋_GB2312" w:hAnsi="仿宋_GB2312" w:cs="仿宋_GB2312" w:eastAsia="仿宋_GB2312"/>
                <w:sz w:val="21"/>
              </w:rPr>
              <w:t>70000</w:t>
            </w:r>
            <w:r>
              <w:rPr>
                <w:rFonts w:ascii="仿宋_GB2312" w:hAnsi="仿宋_GB2312" w:cs="仿宋_GB2312" w:eastAsia="仿宋_GB2312"/>
                <w:sz w:val="21"/>
              </w:rPr>
              <w:t>元，结算时按实调整。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工期要求：45日历天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按照采购人提供的工程量清单依照相关文件结合企业自身情况及上述要求自主做出报价；2、供应商缴纳磋商保证金时备注项目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须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5）供应商资质基本信息及项目经理执业基本信息应在“陕西省住房和城乡建设厅（http://js.shaanxi.gov.cn/）－陕西省建筑市场监管与诚信信息发布平台可查询，提供相关网页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响应文件签署、盖章及投标（响应）有效期、磋商保证金符合采购文件要求。</w:t>
            </w:r>
          </w:p>
        </w:tc>
        <w:tc>
          <w:tcPr>
            <w:tcW w:type="dxa" w:w="1661"/>
          </w:tcPr>
          <w:p>
            <w:pPr>
              <w:pStyle w:val="null3"/>
            </w:pPr>
            <w:r>
              <w:rPr>
                <w:rFonts w:ascii="仿宋_GB2312" w:hAnsi="仿宋_GB2312" w:cs="仿宋_GB2312" w:eastAsia="仿宋_GB2312"/>
              </w:rPr>
              <w:t>响应文件封面 已标价工程量清单 磋商保证金.docx 中小企业声明函 残疾人福利性单位声明函 报价函 技术服务合同条款及其他商务要求应答表 标的清单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响应文件中项目名称、项目编号、合同包号与本项目一致。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响应文件封面 已标价工程量清单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质量保证措施科学、合理、全面、可行性高得7.1~10分；质量保证措施较合理、 内容较完整得3.1~7分；质量保证措施不完整、可行性较差得1.0~3分；无此内容得0分。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工期保证措施科学、合理、全面、可行性高得7.1~10分；工期保证措施较合理、内容较完整得3.1~7分；工期保证措施不完整 、可行性较差得1.0~3分，无此项内容得0分。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保证措施符合规范要求、内容全面、详细，创新性及可操作性强得7.1～10分；保证措施内容较完整、基本基本可行得3.1～7分；保证措施不完整、可行性较差得1.0~3分，无此内容得0分。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施工方案合理、全面、可操作性强得7.1～10分；施工方案较齐全、基本可行得3.1～7分；施工方案不完整、可行性较差得1.0～3分；无此内容得0分。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拟派实名制人员配置</w:t>
            </w:r>
          </w:p>
        </w:tc>
        <w:tc>
          <w:tcPr>
            <w:tcW w:type="dxa" w:w="2492"/>
          </w:tcPr>
          <w:p>
            <w:pPr>
              <w:pStyle w:val="null3"/>
            </w:pPr>
            <w:r>
              <w:rPr>
                <w:rFonts w:ascii="仿宋_GB2312" w:hAnsi="仿宋_GB2312" w:cs="仿宋_GB2312" w:eastAsia="仿宋_GB2312"/>
              </w:rPr>
              <w:t>项目部技术管理人员岗位配置充足、齐全得3.1~5分；技术管理人员基本满足施工要求得1~3分；无此项内容得0分。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质量保证及服务承诺详尽，符合项目特点得7.1~10分；质量保证及服务承诺基本合理、可行得3.1~7分；质量保证及服务承诺不够完善得1~3分；无此项内容得0分。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2022年1月1日至今类似工程（建筑工程）施工业绩，有一项得4分，最高得8分；须提供合同协议书及项目验收合格证明资料。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1.项目经理业绩：项目经理2022年1月1日至今承担过类似工程（建筑工程）施工业绩，有一项得2分，最高得4分；须提供合同协议书及项目验收合格证明资料。 2.项目经理具有建筑工程相关专业中级技术职称得2分；具有建筑工程相关专业高级及以上技术职称得3分；须提供职称证书。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