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5257C">
      <w:pPr>
        <w:pStyle w:val="2"/>
        <w:rPr>
          <w:rFonts w:cs="宋体" w:asciiTheme="minorEastAsia" w:hAnsiTheme="minorEastAsia" w:eastAsiaTheme="minorEastAsia"/>
          <w:bCs w:val="0"/>
          <w:color w:val="auto"/>
        </w:rPr>
      </w:pPr>
      <w:bookmarkStart w:id="0" w:name="_Toc24649"/>
      <w:bookmarkStart w:id="1" w:name="_Toc20774"/>
      <w:bookmarkStart w:id="2" w:name="_Toc30897"/>
      <w:bookmarkStart w:id="3" w:name="_Toc30735"/>
      <w:bookmarkStart w:id="4" w:name="_Toc27279"/>
      <w:bookmarkStart w:id="5" w:name="_Toc17501"/>
      <w:r>
        <w:rPr>
          <w:rFonts w:hint="eastAsia" w:cs="宋体" w:asciiTheme="minorEastAsia" w:hAnsiTheme="minorEastAsia" w:eastAsiaTheme="minorEastAsia"/>
          <w:iCs/>
          <w:color w:val="auto"/>
        </w:rPr>
        <w:t xml:space="preserve"> </w:t>
      </w:r>
      <w:bookmarkStart w:id="6" w:name="_Toc233435988"/>
      <w:bookmarkStart w:id="7" w:name="_Toc10123"/>
      <w:bookmarkStart w:id="8" w:name="_Toc497546924"/>
      <w:bookmarkStart w:id="9" w:name="_Toc389620246"/>
      <w:bookmarkStart w:id="10" w:name="_Toc492955465"/>
      <w:bookmarkStart w:id="11" w:name="_Toc497711591"/>
      <w:bookmarkStart w:id="12" w:name="_Toc497551826"/>
      <w:bookmarkStart w:id="13" w:name="_Toc497712139"/>
      <w:bookmarkStart w:id="14" w:name="_Toc385992406"/>
      <w:r>
        <w:rPr>
          <w:rFonts w:hint="eastAsia" w:cs="宋体" w:asciiTheme="minorEastAsia" w:hAnsiTheme="minorEastAsia" w:eastAsiaTheme="minorEastAsia"/>
          <w:bCs w:val="0"/>
          <w:color w:val="auto"/>
        </w:rPr>
        <w:t>技术参数偏离表</w:t>
      </w:r>
      <w:bookmarkEnd w:id="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268131CE">
      <w:pPr>
        <w:spacing w:line="360" w:lineRule="auto"/>
        <w:rPr>
          <w:rFonts w:cs="宋体" w:asciiTheme="minorEastAsia" w:hAnsiTheme="minorEastAsia" w:eastAsiaTheme="minorEastAsia"/>
          <w:color w:val="auto"/>
          <w:szCs w:val="21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供应商名称：</w:t>
      </w:r>
    </w:p>
    <w:p w14:paraId="7345EB63">
      <w:pPr>
        <w:spacing w:line="360" w:lineRule="auto"/>
        <w:rPr>
          <w:rFonts w:cs="宋体" w:asciiTheme="minorEastAsia" w:hAnsiTheme="minorEastAsia" w:eastAsiaTheme="minorEastAsia"/>
          <w:color w:val="auto"/>
          <w:szCs w:val="21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采购项目编号：</w:t>
      </w:r>
    </w:p>
    <w:tbl>
      <w:tblPr>
        <w:tblStyle w:val="5"/>
        <w:tblW w:w="864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4"/>
        <w:gridCol w:w="1600"/>
        <w:gridCol w:w="2262"/>
        <w:gridCol w:w="2764"/>
        <w:gridCol w:w="1440"/>
      </w:tblGrid>
      <w:tr w14:paraId="3D6D6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74" w:type="dxa"/>
          </w:tcPr>
          <w:p w14:paraId="6A2035F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序号</w:t>
            </w:r>
          </w:p>
        </w:tc>
        <w:tc>
          <w:tcPr>
            <w:tcW w:w="1600" w:type="dxa"/>
          </w:tcPr>
          <w:p w14:paraId="133E8CC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产品名称</w:t>
            </w:r>
          </w:p>
        </w:tc>
        <w:tc>
          <w:tcPr>
            <w:tcW w:w="2262" w:type="dxa"/>
          </w:tcPr>
          <w:p w14:paraId="45F7747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采购参数</w:t>
            </w:r>
          </w:p>
        </w:tc>
        <w:tc>
          <w:tcPr>
            <w:tcW w:w="2764" w:type="dxa"/>
          </w:tcPr>
          <w:p w14:paraId="173135D3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投标参数</w:t>
            </w:r>
          </w:p>
          <w:p w14:paraId="62C40F8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（含品牌型号）</w:t>
            </w:r>
          </w:p>
        </w:tc>
        <w:tc>
          <w:tcPr>
            <w:tcW w:w="1440" w:type="dxa"/>
          </w:tcPr>
          <w:p w14:paraId="784F536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偏离</w:t>
            </w:r>
          </w:p>
        </w:tc>
      </w:tr>
      <w:tr w14:paraId="29979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19D82E4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07D5214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2CAD2B51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26AFEB9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680A755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757ACF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6EB89F6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2BBEEB3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2A57D39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3C737528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017B995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613C0C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688E0ED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691739C1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386053A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482FEB8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7AFC3A8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017A4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79B3640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639E9F4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3F87BCE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2FD1185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5523DD1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370AD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36E621B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0673458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1BEFE22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36A5850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28AA9FE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1F77B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7C54CEF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0DF18E6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77B8C2E3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1D41AA19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22F5650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3D95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6BE6FEA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6158E15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3EB55758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7488A093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5851544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  <w:tr w14:paraId="5686E7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74" w:type="dxa"/>
          </w:tcPr>
          <w:p w14:paraId="154F43B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600" w:type="dxa"/>
          </w:tcPr>
          <w:p w14:paraId="3106594E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262" w:type="dxa"/>
          </w:tcPr>
          <w:p w14:paraId="42D8EEC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2764" w:type="dxa"/>
          </w:tcPr>
          <w:p w14:paraId="0890AE31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  <w:tc>
          <w:tcPr>
            <w:tcW w:w="1440" w:type="dxa"/>
          </w:tcPr>
          <w:p w14:paraId="6851AF8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</w:p>
        </w:tc>
      </w:tr>
    </w:tbl>
    <w:p w14:paraId="1A4F68F4">
      <w:pPr>
        <w:spacing w:line="360" w:lineRule="auto"/>
        <w:rPr>
          <w:rFonts w:cs="宋体" w:asciiTheme="minorEastAsia" w:hAnsiTheme="minorEastAsia" w:eastAsiaTheme="minorEastAsia"/>
          <w:color w:val="auto"/>
          <w:szCs w:val="21"/>
        </w:rPr>
      </w:pPr>
    </w:p>
    <w:p w14:paraId="2F65F583">
      <w:pPr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注1、需逐一对产品项进行确认，偏离处应填写无偏离、正偏离或负偏离；</w:t>
      </w:r>
    </w:p>
    <w:p w14:paraId="16DFD431">
      <w:pPr>
        <w:numPr>
          <w:ilvl w:val="0"/>
          <w:numId w:val="1"/>
        </w:numPr>
        <w:spacing w:line="240" w:lineRule="auto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对于有偏离的（包含正、负偏离）必须具体指</w:t>
      </w:r>
      <w:bookmarkStart w:id="15" w:name="_GoBack"/>
      <w:bookmarkEnd w:id="15"/>
      <w:r>
        <w:rPr>
          <w:rFonts w:hint="eastAsia" w:cs="宋体" w:asciiTheme="minorEastAsia" w:hAnsiTheme="minorEastAsia" w:eastAsiaTheme="minorEastAsia"/>
          <w:color w:val="auto"/>
          <w:szCs w:val="21"/>
        </w:rPr>
        <w:t>出具体技术指标，无偏离的条款应填写“无偏离”；</w:t>
      </w:r>
    </w:p>
    <w:p w14:paraId="339491E7">
      <w:pPr>
        <w:numPr>
          <w:ilvl w:val="0"/>
          <w:numId w:val="1"/>
        </w:numPr>
        <w:spacing w:line="240" w:lineRule="auto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关于正偏离的参数应后附佐证资料并在本表中列明页码范围。</w:t>
      </w:r>
    </w:p>
    <w:p w14:paraId="25F99568">
      <w:pPr>
        <w:pStyle w:val="4"/>
        <w:rPr>
          <w:rFonts w:asciiTheme="minorEastAsia" w:hAnsiTheme="minorEastAsia" w:eastAsiaTheme="minorEastAsia"/>
          <w:color w:val="auto"/>
        </w:rPr>
      </w:pPr>
    </w:p>
    <w:bookmarkEnd w:id="1"/>
    <w:bookmarkEnd w:id="2"/>
    <w:bookmarkEnd w:id="3"/>
    <w:bookmarkEnd w:id="4"/>
    <w:bookmarkEnd w:id="5"/>
    <w:p w14:paraId="35DBB6BE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cs="宋体" w:asciiTheme="minorEastAsia" w:hAnsiTheme="minorEastAsia" w:eastAsiaTheme="minorEastAsia"/>
          <w:color w:val="auto"/>
          <w:szCs w:val="21"/>
          <w:lang w:val="zh-CN"/>
        </w:rPr>
      </w:pPr>
    </w:p>
    <w:p w14:paraId="10B334FA">
      <w:pPr>
        <w:autoSpaceDE w:val="0"/>
        <w:autoSpaceDN w:val="0"/>
        <w:adjustRightInd w:val="0"/>
        <w:snapToGrid w:val="0"/>
        <w:spacing w:before="312" w:beforeLines="100" w:line="360" w:lineRule="auto"/>
        <w:ind w:firstLine="3150" w:firstLineChars="1500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供应商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 xml:space="preserve"> ：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 xml:space="preserve"> （盖单位公章）               </w:t>
      </w:r>
    </w:p>
    <w:p w14:paraId="09F75C62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法定代表人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或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被授权代表人：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</w:rPr>
        <w:t xml:space="preserve">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（签字或盖章）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 xml:space="preserve"> </w:t>
      </w:r>
    </w:p>
    <w:p w14:paraId="6DA80AA0">
      <w:pPr>
        <w:autoSpaceDE w:val="0"/>
        <w:autoSpaceDN w:val="0"/>
        <w:adjustRightInd w:val="0"/>
        <w:snapToGrid w:val="0"/>
        <w:spacing w:before="156" w:beforeLines="50" w:line="312" w:lineRule="auto"/>
        <w:ind w:firstLine="630"/>
        <w:jc w:val="left"/>
        <w:outlineLvl w:val="1"/>
        <w:rPr>
          <w:rFonts w:cs="宋体" w:asciiTheme="minorEastAsia" w:hAnsiTheme="minorEastAsia" w:eastAsiaTheme="minorEastAsia"/>
          <w:color w:val="auto"/>
          <w:szCs w:val="21"/>
          <w:lang w:val="zh-CN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 xml:space="preserve"> 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 xml:space="preserve">  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 xml:space="preserve">年 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月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zh-CN"/>
        </w:rPr>
        <w:t>日</w:t>
      </w:r>
    </w:p>
    <w:p w14:paraId="571D19B3"/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238B67"/>
    <w:multiLevelType w:val="singleLevel"/>
    <w:tmpl w:val="49238B67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204B5"/>
    <w:rsid w:val="49B204B5"/>
    <w:rsid w:val="59F5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4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2025-09-18T02:57:00Z</dcterms:created>
  <dc:creator>星星</dc:creator>
  <cp:lastModifiedBy>星星</cp:lastModifiedBy>
  <dcterms:modified xsi:type="dcterms:W3CDTF">2025-09-18T02:58:42Z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CBC908AB92974035A3345EEAEA6E19CB_11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