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版本号：HDJT2025（124）CG20251104002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勉县褒河右岸X226褒河桥至108国道段防洪工程第三方质量检测服务项目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HDJT2025（124）CG</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勉县褒河右岸X226褒河桥至108国道段防洪工程第三方质量检测服务项目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HDJT2025（124）CG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勉县褒河右岸X226褒河桥至108国道段防洪工程第三方质量检测服务项目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勉县褒河右岸X226褒河桥至108国道段防洪工程第三方质量检测；主要功能或目标:对工程进行第三方检测，为工程质量提供保证；需满足的要求:满足水利工程质量检测资质要求。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采购包1（勉县褒河右岸X226褒河桥至108国道段防洪工程第三方质量检测服务项目）：属于专门面向中小企业采购。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2、信用查询：不得为“信用中国”网站(http://www.creditchi na.gov.cn)列入“失信被执行人（页面跳转至“中国执行信息公开网”http://zxgk.court.gov.c n/shixin/）、重大税收违法失信主体的供应商 ；不得为中国政府采购网(http://www.ccgp.g ov.cn)“政府采购严重违法失信行为记录名单”中的供应商。</w:t>
      </w:r>
    </w:p>
    <w:p>
      <w:pPr>
        <w:pStyle w:val="null3"/>
      </w:pPr>
      <w:r>
        <w:rPr>
          <w:rFonts w:ascii="仿宋_GB2312" w:hAnsi="仿宋_GB2312" w:cs="仿宋_GB2312" w:eastAsia="仿宋_GB2312"/>
        </w:rPr>
        <w:t>3、不接受联合体磋商：不接受联合体磋商</w:t>
      </w:r>
    </w:p>
    <w:p>
      <w:pPr>
        <w:pStyle w:val="null3"/>
      </w:pPr>
      <w:r>
        <w:rPr>
          <w:rFonts w:ascii="仿宋_GB2312" w:hAnsi="仿宋_GB2312" w:cs="仿宋_GB2312" w:eastAsia="仿宋_GB2312"/>
        </w:rPr>
        <w:t>4、资质要求：供应商须具备水利工程质量检测混凝土、岩土、量测三个专业乙级及以上资质证书</w:t>
      </w:r>
    </w:p>
    <w:p>
      <w:pPr>
        <w:pStyle w:val="null3"/>
      </w:pPr>
      <w:r>
        <w:rPr>
          <w:rFonts w:ascii="仿宋_GB2312" w:hAnsi="仿宋_GB2312" w:cs="仿宋_GB2312" w:eastAsia="仿宋_GB2312"/>
        </w:rPr>
        <w:t>5、项目检测负责人要求：项目检测负责人具备水利水电工程及相关专业中级以上技术职称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0916-3239750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陕西省西安市碑林区含光北路2号1B2幢1单元11301室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开户名称：华鼎工程咨询集团有限公司宝鸡分公司</w:t>
            </w:r>
          </w:p>
          <w:p>
            <w:pPr>
              <w:pStyle w:val="null3"/>
            </w:pPr>
            <w:r>
              <w:rPr>
                <w:rFonts w:ascii="仿宋_GB2312" w:hAnsi="仿宋_GB2312" w:cs="仿宋_GB2312" w:eastAsia="仿宋_GB2312"/>
              </w:rPr>
              <w:t>开户银行：兴业银行宝鸡分行</w:t>
            </w:r>
          </w:p>
          <w:p>
            <w:pPr>
              <w:pStyle w:val="null3"/>
            </w:pPr>
            <w:r>
              <w:rPr>
                <w:rFonts w:ascii="仿宋_GB2312" w:hAnsi="仿宋_GB2312" w:cs="仿宋_GB2312" w:eastAsia="仿宋_GB2312"/>
              </w:rPr>
              <w:t>银行账号：4580 2010 0100 0901 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国家发展改革委办公厅关于招标代理服务收费有关问题的通知》（发改办价格〔2003〕857号）规定标准计取，不足3000元按3000元收取。代理服务费由成交供应商在领取成交通知书时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业须达到国家及行业现行技术规范标准，符合国家及行业验收合格标准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联系人：杨康</w:t>
      </w:r>
    </w:p>
    <w:p>
      <w:pPr>
        <w:pStyle w:val="null3"/>
      </w:pPr>
      <w:r>
        <w:rPr>
          <w:rFonts w:ascii="仿宋_GB2312" w:hAnsi="仿宋_GB2312" w:cs="仿宋_GB2312" w:eastAsia="仿宋_GB2312"/>
        </w:rPr>
        <w:t>联系电话：029-81873112</w:t>
      </w:r>
    </w:p>
    <w:p>
      <w:pPr>
        <w:pStyle w:val="null3"/>
      </w:pPr>
      <w:r>
        <w:rPr>
          <w:rFonts w:ascii="仿宋_GB2312" w:hAnsi="仿宋_GB2312" w:cs="仿宋_GB2312" w:eastAsia="仿宋_GB2312"/>
        </w:rPr>
        <w:t>地址：陕西省西安市碑林区含光北路2号1B2幢1单元11301室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1、工程建设必要性 褒河发源于秦岭太白山南麓，流经宝鸡市太白县、凤县和汉中市留坝县、勉县、汉台区，在勉县老道寺镇珍宝村和汉台区龙江办事处孤山村注入汉江，褒河干流长175.5km，其中汉中市境内河长116.4km，宝鸡市境内河长59.1km，全流域面积3908km²,河道平均比降3.7‰。 工程区位于褒河下游段，上起勉县X226褒河桥，下至108国道褒河大桥。现存防洪工程多为当地20世纪 70年代自发修建，质量差、隐患多。现状河道未经过系统治理，防洪工程体系不完善。随着汉中市经济社会的快速发展，褒河干流勉县段已成为汉中市中心城区的重要组成部分，对褒河治理提出了更高的要求。为完善褒河勉县段防洪工程体系，提升防洪能力，改善河道沿线生态环境，保障区域高质量发展，本工程建设是必要的。 2、工程规模和任务 本工程主要任务为：通过建设褒河右岸 X226褒河桥～十天高速桥段、阳安铁路桥 ~ 108国道褒河大桥段防洪工程，保护汉中市中心城区的褒城工业园区、工厂等产业设施及沿线褒城镇、老道寺镇等周边人口1.0万人，耕地面积800亩。提高褒河勉县段防洪能力，促进区内经济社会可持续发展。 工程治理范围为：勉县褒河右岸 X226褒河桥至108国道桥段，治理河长6.1km。 治理河段防洪标准：X226 县道褒河桥 ~ 十天高速桥段防洪标准为50年一遇，阳安铁路桥 ~ 108 国道褒河大桥段防洪标准为20年一遇。 工程主要建设内容： 新建护岸 3586m，加固培厚堤防 1609m，加固护岸 962m。拆除重建穿堤建筑物7处，其中箱涵5处，涵管2处。新建上堤路6处，下河路2处，下河踏步 12处，堤顶道路 6157m，天然气管线保护设施 110m 及公里桩等其他附属工程。 3、工程布置及建筑物 ⑴勉县X226褒河桥～十天高速桥段工程级别为 2级，阳安铁路桥～108国道褒河大桥段工程级别为4级。 ⑵设计堤顶高程为设计洪水位以上 1.8m，现状堤顶高程高于设计堤顶高程段维持现状堤顶高程；护岸砌护顶高程为设计洪水位以上0.5m。 ⑶主要建筑物设计： ①X226县道褒河桥至十天高速桥起点连峰社区段，采用C25 现浇混凝土贴坡防护，混凝土厚 30cm，护坡以下设 5.0m 长水平段，水平段末端设护脚基础，护脚基础采用 C25 砼重力式挡墙，墙高3.0m，顶宽 0.8m，临河侧坡比为1:0.35，背河侧直立。 ②其余段落堤防和护岸临水坡坡比 1:2.5，堤防背水坡坡比 1:2.5。临水侧护坡在 2 年一遇洪水位以下采用 30cm 厚 C25 砼护坡，以上采用 50cm 厚格宾笼石护坡护至设计洪水位以上0.5m,格宾护坡设 C25 现浇砼肋带，肋带纵横向间距均为5m，格宾笼石表层铺土植草，格宾笼石护坡以上采用草皮护坡。堤防背水侧采用草皮护坡。临水侧护坡基础采用 C25 砼重力式挡墙，顶宽0.8m，高3.0m，挡墙临水侧坡比1:0.35。 ③培厚堤身填筑料和回填料采用砂砾料，X226 县道褒河桥至十天高速褒河大桥段工程填筑相对密度不小于0.65，阳安铁路褒河大桥至 G108 国道褒河大桥段工程填筑相对密度不小于0.60。 ④堤顶宽10m，自临河侧向背水侧依次为3m宽人行道（含0.5m 宽绿化带 ),7m 宽车行道。入行道路面采用 8cm 厚彩色透水混凝土路面，下设 10cm 厚 C15 砼垫层。车行道采用 8cm 沥青路面，下设25cm厚水泥稳定碎石基层。 ⑤工程段落沿线涉及十天高速和阳安铁路等跨河桥梁。下阶段，勉县水利局要进一步做好与相关部门的协调对接，进一步完善局部建设方案。 ⑷冲刷深的计算方法和成果： 顺直河段基础埋置深度按河道实测深泓点以下 2.0m 控制，凹岸及桥下游河段基础埋置深度按河道实测深泓点以下 2.5m控制。 ⑸穿堤建筑物设计 ①穿堤箱涵由进口段、穿堤箱涵段、斜坡段、消力池段以及笼石防冲段组成，采用C25钢筋砼结构。箱涵采用单孔结构，其中荒水沟箱涵尺寸3.5mx3.5m，边墙厚50cm，底板厚50cm,其余箱涵采用单孔结构，尺寸1.5mx1.5m，边墙和底板厚度均为40cm，箱涵每10m设伸缩缝。为防止洪水倒灌，在穿堤箱涵背河侧预留闸槽，便于汛前封堵。 ②穿堤涵管由进口段、穿堤涵管段、斜坡段、消力池段以及笼石防冲段组成。穿堤涵管采用直径0.9m和直径1.0m预制钢筋砼管，设砼管床；斜坡段、消力池段采用C25钢筋砼结构。为防止洪水倒灌，在涵管临河侧设拍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主要功能或目标:对工程进行第三方质量检测，为工程质量提供保证；需满足的要求:满足水利工程质量检测资质要求。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标的名称：主要功能或目标:对工程进行第三方质量检测，为工程质量提供保证；需满足的要求:满足水利工程质量检测资质要求。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center"/>
            </w:pPr>
            <w:r>
              <w:rPr>
                <w:rFonts w:ascii="仿宋_GB2312" w:hAnsi="仿宋_GB2312" w:cs="仿宋_GB2312" w:eastAsia="仿宋_GB2312"/>
                <w:sz w:val="28"/>
                <w:b/>
              </w:rPr>
              <w:t>原材料及中间产品检测依据</w:t>
            </w:r>
          </w:p>
          <w:tbl>
            <w:tblPr>
              <w:tblBorders>
                <w:top w:val="none" w:color="000000" w:sz="4"/>
                <w:left w:val="none" w:color="000000" w:sz="4"/>
                <w:bottom w:val="none" w:color="000000" w:sz="4"/>
                <w:right w:val="none" w:color="000000" w:sz="4"/>
                <w:insideH w:val="none"/>
                <w:insideV w:val="none"/>
              </w:tblBorders>
            </w:tblPr>
            <w:tblGrid>
              <w:gridCol w:w="222"/>
              <w:gridCol w:w="507"/>
              <w:gridCol w:w="1162"/>
              <w:gridCol w:w="655"/>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检验项目</w:t>
                  </w:r>
                </w:p>
              </w:tc>
              <w:tc>
                <w:tcPr>
                  <w:tcW w:type="dxa" w:w="1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使用规程规范</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规范编号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《通用硅酸盐水泥》</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175-20</w:t>
                  </w:r>
                  <w:r>
                    <w:rPr>
                      <w:rFonts w:ascii="仿宋_GB2312" w:hAnsi="仿宋_GB2312" w:cs="仿宋_GB2312" w:eastAsia="仿宋_GB2312"/>
                      <w:sz w:val="24"/>
                    </w:rPr>
                    <w:t>23</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《水泥取样方法》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12573-2008</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《水泥比表面积测定方法</w:t>
                  </w:r>
                  <w:r>
                    <w:rPr>
                      <w:rFonts w:ascii="仿宋_GB2312" w:hAnsi="仿宋_GB2312" w:cs="仿宋_GB2312" w:eastAsia="仿宋_GB2312"/>
                      <w:sz w:val="24"/>
                    </w:rPr>
                    <w:t xml:space="preserve">  </w:t>
                  </w:r>
                  <w:r>
                    <w:rPr>
                      <w:rFonts w:ascii="仿宋_GB2312" w:hAnsi="仿宋_GB2312" w:cs="仿宋_GB2312" w:eastAsia="仿宋_GB2312"/>
                      <w:sz w:val="24"/>
                    </w:rPr>
                    <w:t>勃氏法》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8074-2008</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《水泥细度检验方法</w:t>
                  </w:r>
                  <w:r>
                    <w:rPr>
                      <w:rFonts w:ascii="仿宋_GB2312" w:hAnsi="仿宋_GB2312" w:cs="仿宋_GB2312" w:eastAsia="仿宋_GB2312"/>
                      <w:sz w:val="24"/>
                    </w:rPr>
                    <w:t xml:space="preserve">  </w:t>
                  </w:r>
                  <w:r>
                    <w:rPr>
                      <w:rFonts w:ascii="仿宋_GB2312" w:hAnsi="仿宋_GB2312" w:cs="仿宋_GB2312" w:eastAsia="仿宋_GB2312"/>
                      <w:sz w:val="24"/>
                    </w:rPr>
                    <w:t>筛析法》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1345-2005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《水泥标准稠度用水量、凝结时间、安定性检验方法》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1346-20</w:t>
                  </w:r>
                  <w:r>
                    <w:rPr>
                      <w:rFonts w:ascii="仿宋_GB2312" w:hAnsi="仿宋_GB2312" w:cs="仿宋_GB2312" w:eastAsia="仿宋_GB2312"/>
                      <w:sz w:val="24"/>
                    </w:rPr>
                    <w:t>24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《水泥胶砂流动度测定方法》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2419-2005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《水泥胶砂强度检验方法（</w:t>
                  </w:r>
                  <w:r>
                    <w:rPr>
                      <w:rFonts w:ascii="仿宋_GB2312" w:hAnsi="仿宋_GB2312" w:cs="仿宋_GB2312" w:eastAsia="仿宋_GB2312"/>
                      <w:sz w:val="24"/>
                    </w:rPr>
                    <w:t>ISO</w:t>
                  </w:r>
                  <w:r>
                    <w:rPr>
                      <w:rFonts w:ascii="仿宋_GB2312" w:hAnsi="仿宋_GB2312" w:cs="仿宋_GB2312" w:eastAsia="仿宋_GB2312"/>
                      <w:sz w:val="24"/>
                    </w:rPr>
                    <w:t>）法》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17671-2021</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细骨料</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《水工混凝土施工规范》</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 677-2014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《水工混凝土试验规程》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SL/T 352-2020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粗骨料</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《水工混凝土施工规范》</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 677-2014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《水工混凝土试验规程》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SL/T 352-2020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12</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钢筋</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《金属材料</w:t>
                  </w:r>
                  <w:r>
                    <w:rPr>
                      <w:rFonts w:ascii="仿宋_GB2312" w:hAnsi="仿宋_GB2312" w:cs="仿宋_GB2312" w:eastAsia="仿宋_GB2312"/>
                      <w:sz w:val="22"/>
                    </w:rPr>
                    <w:t xml:space="preserve">  </w:t>
                  </w:r>
                  <w:r>
                    <w:rPr>
                      <w:rFonts w:ascii="仿宋_GB2312" w:hAnsi="仿宋_GB2312" w:cs="仿宋_GB2312" w:eastAsia="仿宋_GB2312"/>
                      <w:sz w:val="24"/>
                    </w:rPr>
                    <w:t>拉伸试验</w:t>
                  </w:r>
                  <w:r>
                    <w:rPr>
                      <w:rFonts w:ascii="仿宋_GB2312" w:hAnsi="仿宋_GB2312" w:cs="仿宋_GB2312" w:eastAsia="仿宋_GB2312"/>
                      <w:sz w:val="22"/>
                    </w:rPr>
                    <w:t xml:space="preserve">  </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部分：室温试验方法》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GB/T 228.1-20</w:t>
                  </w:r>
                  <w:r>
                    <w:rPr>
                      <w:rFonts w:ascii="仿宋_GB2312" w:hAnsi="仿宋_GB2312" w:cs="仿宋_GB2312" w:eastAsia="仿宋_GB2312"/>
                      <w:sz w:val="24"/>
                    </w:rPr>
                    <w:t>21</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13</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《金属材料</w:t>
                  </w:r>
                  <w:r>
                    <w:rPr>
                      <w:rFonts w:ascii="仿宋_GB2312" w:hAnsi="仿宋_GB2312" w:cs="仿宋_GB2312" w:eastAsia="仿宋_GB2312"/>
                      <w:sz w:val="22"/>
                    </w:rPr>
                    <w:t xml:space="preserve"> </w:t>
                  </w:r>
                  <w:r>
                    <w:rPr>
                      <w:rFonts w:ascii="仿宋_GB2312" w:hAnsi="仿宋_GB2312" w:cs="仿宋_GB2312" w:eastAsia="仿宋_GB2312"/>
                      <w:sz w:val="24"/>
                    </w:rPr>
                    <w:t>弯曲试验</w:t>
                  </w:r>
                  <w:r>
                    <w:rPr>
                      <w:rFonts w:ascii="仿宋_GB2312" w:hAnsi="仿宋_GB2312" w:cs="仿宋_GB2312" w:eastAsia="仿宋_GB2312"/>
                      <w:sz w:val="24"/>
                    </w:rPr>
                    <w:t>方法</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GB/T 232-20</w:t>
                  </w:r>
                  <w:r>
                    <w:rPr>
                      <w:rFonts w:ascii="仿宋_GB2312" w:hAnsi="仿宋_GB2312" w:cs="仿宋_GB2312" w:eastAsia="仿宋_GB2312"/>
                      <w:sz w:val="24"/>
                    </w:rPr>
                    <w:t>24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14</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《钢筋混凝土用钢</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部分：热轧光圆钢筋》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 1499.1-20</w:t>
                  </w:r>
                  <w:r>
                    <w:rPr>
                      <w:rFonts w:ascii="仿宋_GB2312" w:hAnsi="仿宋_GB2312" w:cs="仿宋_GB2312" w:eastAsia="仿宋_GB2312"/>
                      <w:sz w:val="24"/>
                    </w:rPr>
                    <w:t>24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15</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《钢筋混凝土用钢</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部分：热轧带肋钢筋》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 1499.2-20</w:t>
                  </w:r>
                  <w:r>
                    <w:rPr>
                      <w:rFonts w:ascii="仿宋_GB2312" w:hAnsi="仿宋_GB2312" w:cs="仿宋_GB2312" w:eastAsia="仿宋_GB2312"/>
                      <w:sz w:val="24"/>
                    </w:rPr>
                    <w:t>24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16</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《钢筋焊接接头试验方法标准》</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JGJ/T 27-2014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17</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《钢筋焊接及验收规程》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JGJ 18-2012</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18</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岩石</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《水利水电工程岩石试验规程》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SL/T 264-2020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19</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混凝土</w:t>
                  </w:r>
                  <w:r>
                    <w:rPr>
                      <w:rFonts w:ascii="仿宋_GB2312" w:hAnsi="仿宋_GB2312" w:cs="仿宋_GB2312" w:eastAsia="仿宋_GB2312"/>
                      <w:sz w:val="24"/>
                    </w:rPr>
                    <w:t>、</w:t>
                  </w:r>
                  <w:r>
                    <w:rPr>
                      <w:rFonts w:ascii="仿宋_GB2312" w:hAnsi="仿宋_GB2312" w:cs="仿宋_GB2312" w:eastAsia="仿宋_GB2312"/>
                      <w:sz w:val="24"/>
                    </w:rPr>
                    <w:t>砂浆</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《水工混凝土试验规程》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SL/T 352-2020</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土方回填</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《土工试验规程》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GB/T50123-2019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21</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格宾笼</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《一般用途低碳钢丝</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YB/T 5294-2009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22</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《金属材料</w:t>
                  </w:r>
                  <w:r>
                    <w:rPr>
                      <w:rFonts w:ascii="仿宋_GB2312" w:hAnsi="仿宋_GB2312" w:cs="仿宋_GB2312" w:eastAsia="仿宋_GB2312"/>
                      <w:sz w:val="22"/>
                    </w:rPr>
                    <w:t xml:space="preserve">  </w:t>
                  </w:r>
                  <w:r>
                    <w:rPr>
                      <w:rFonts w:ascii="仿宋_GB2312" w:hAnsi="仿宋_GB2312" w:cs="仿宋_GB2312" w:eastAsia="仿宋_GB2312"/>
                      <w:sz w:val="24"/>
                    </w:rPr>
                    <w:t>拉伸试验</w:t>
                  </w:r>
                  <w:r>
                    <w:rPr>
                      <w:rFonts w:ascii="仿宋_GB2312" w:hAnsi="仿宋_GB2312" w:cs="仿宋_GB2312" w:eastAsia="仿宋_GB2312"/>
                      <w:sz w:val="22"/>
                    </w:rPr>
                    <w:t xml:space="preserve">  </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部分：室温试验方法》</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GB/T 228.1-20</w:t>
                  </w:r>
                  <w:r>
                    <w:rPr>
                      <w:rFonts w:ascii="仿宋_GB2312" w:hAnsi="仿宋_GB2312" w:cs="仿宋_GB2312" w:eastAsia="仿宋_GB2312"/>
                      <w:sz w:val="24"/>
                    </w:rPr>
                    <w:t>21</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23</w:t>
                  </w:r>
                </w:p>
              </w:tc>
              <w:tc>
                <w:tcPr>
                  <w:tcW w:type="dxa" w:w="507"/>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《钢产品镀锌层质量试验方法》</w:t>
                  </w:r>
                </w:p>
                <w:p>
                  <w:pPr>
                    <w:pStyle w:val="null3"/>
                    <w:spacing w:after="195"/>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1839-2008</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24</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橡胶止水带</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《高分子防水材料</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部分：止水带》</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 18173.2-2014</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25</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塑料泡沫板</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w:t>
                  </w:r>
                  <w:r>
                    <w:rPr>
                      <w:rFonts w:ascii="仿宋_GB2312" w:hAnsi="仿宋_GB2312" w:cs="仿宋_GB2312" w:eastAsia="仿宋_GB2312"/>
                      <w:sz w:val="24"/>
                    </w:rPr>
                    <w:t>给水排水工程混凝土构筑物变形缝技术规范</w:t>
                  </w:r>
                  <w:r>
                    <w:rPr>
                      <w:rFonts w:ascii="仿宋_GB2312" w:hAnsi="仿宋_GB2312" w:cs="仿宋_GB2312" w:eastAsia="仿宋_GB2312"/>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CECS 117-2017</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26</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路基路面现场测试</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《公路路基路面现场测试规程》</w:t>
                  </w:r>
                  <w:r>
                    <w:rPr>
                      <w:rFonts w:ascii="仿宋_GB2312" w:hAnsi="仿宋_GB2312" w:cs="仿宋_GB2312" w:eastAsia="仿宋_GB2312"/>
                      <w:sz w:val="24"/>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JTG 3450-2019</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阶段性及完工检测的依据</w:t>
            </w:r>
          </w:p>
          <w:tbl>
            <w:tblPr>
              <w:tblBorders>
                <w:top w:val="none" w:color="000000" w:sz="4"/>
                <w:left w:val="none" w:color="000000" w:sz="4"/>
                <w:bottom w:val="none" w:color="000000" w:sz="4"/>
                <w:right w:val="none" w:color="000000" w:sz="4"/>
                <w:insideH w:val="none"/>
                <w:insideV w:val="none"/>
              </w:tblBorders>
            </w:tblPr>
            <w:tblGrid>
              <w:gridCol w:w="253"/>
              <w:gridCol w:w="358"/>
              <w:gridCol w:w="1272"/>
              <w:gridCol w:w="664"/>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序号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检验项目</w:t>
                  </w:r>
                </w:p>
              </w:tc>
              <w:tc>
                <w:tcPr>
                  <w:tcW w:type="dxa" w:w="1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使用规程规范</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规范编号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1</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测量</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《水利水电工程测量规范》</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SL197-2013</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2</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土方回填</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《土工试验规程》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GB/T50123-2019</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3</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检测频率</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《水利工程质量检测技术规程》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 734-2016</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4</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工程验收</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《水利水电建设工程验收规程》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SL/T223-20</w:t>
                  </w:r>
                  <w:r>
                    <w:rPr>
                      <w:rFonts w:ascii="仿宋_GB2312" w:hAnsi="仿宋_GB2312" w:cs="仿宋_GB2312" w:eastAsia="仿宋_GB2312"/>
                      <w:sz w:val="24"/>
                    </w:rPr>
                    <w:t>25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5</w:t>
                  </w:r>
                </w:p>
              </w:tc>
              <w:tc>
                <w:tcPr>
                  <w:tcW w:type="dxa" w:w="358"/>
                  <w:vMerge/>
                  <w:tcBorders>
                    <w:top w:val="none" w:color="000000" w:sz="4"/>
                    <w:left w:val="single" w:color="000000" w:sz="4"/>
                    <w:bottom w:val="single" w:color="000000" w:sz="4"/>
                    <w:right w:val="single" w:color="000000" w:sz="4"/>
                  </w:tcBorders>
                </w:tc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《水利水电工程单元工程施工质量验收标准</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混凝土工程》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w:t>
                  </w:r>
                  <w:r>
                    <w:rPr>
                      <w:rFonts w:ascii="仿宋_GB2312" w:hAnsi="仿宋_GB2312" w:cs="仿宋_GB2312" w:eastAsia="仿宋_GB2312"/>
                      <w:sz w:val="24"/>
                    </w:rPr>
                    <w:t>/T</w:t>
                  </w:r>
                  <w:r>
                    <w:rPr>
                      <w:rFonts w:ascii="仿宋_GB2312" w:hAnsi="仿宋_GB2312" w:cs="仿宋_GB2312" w:eastAsia="仿宋_GB2312"/>
                      <w:sz w:val="24"/>
                    </w:rPr>
                    <w:t xml:space="preserve"> </w:t>
                  </w:r>
                  <w:r>
                    <w:rPr>
                      <w:rFonts w:ascii="仿宋_GB2312" w:hAnsi="仿宋_GB2312" w:cs="仿宋_GB2312" w:eastAsia="仿宋_GB2312"/>
                      <w:sz w:val="24"/>
                    </w:rPr>
                    <w:t>63</w:t>
                  </w:r>
                  <w:r>
                    <w:rPr>
                      <w:rFonts w:ascii="仿宋_GB2312" w:hAnsi="仿宋_GB2312" w:cs="仿宋_GB2312" w:eastAsia="仿宋_GB2312"/>
                      <w:sz w:val="24"/>
                    </w:rPr>
                    <w:t>1.2</w:t>
                  </w:r>
                  <w:r>
                    <w:rPr>
                      <w:rFonts w:ascii="仿宋_GB2312" w:hAnsi="仿宋_GB2312" w:cs="仿宋_GB2312" w:eastAsia="仿宋_GB2312"/>
                      <w:sz w:val="24"/>
                    </w:rPr>
                    <w:t>-20</w:t>
                  </w:r>
                  <w:r>
                    <w:rPr>
                      <w:rFonts w:ascii="仿宋_GB2312" w:hAnsi="仿宋_GB2312" w:cs="仿宋_GB2312" w:eastAsia="仿宋_GB2312"/>
                      <w:sz w:val="24"/>
                    </w:rPr>
                    <w:t>25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6</w:t>
                  </w:r>
                </w:p>
              </w:tc>
              <w:tc>
                <w:tcPr>
                  <w:tcW w:type="dxa" w:w="358"/>
                  <w:vMerge/>
                  <w:tcBorders>
                    <w:top w:val="none" w:color="000000" w:sz="4"/>
                    <w:left w:val="single" w:color="000000" w:sz="4"/>
                    <w:bottom w:val="single" w:color="000000" w:sz="4"/>
                    <w:right w:val="single" w:color="000000" w:sz="4"/>
                  </w:tcBorders>
                </w:tc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《水利水电工程单元工程施工质量验收标准</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土石方</w:t>
                  </w:r>
                  <w:r>
                    <w:rPr>
                      <w:rFonts w:ascii="仿宋_GB2312" w:hAnsi="仿宋_GB2312" w:cs="仿宋_GB2312" w:eastAsia="仿宋_GB2312"/>
                      <w:sz w:val="24"/>
                    </w:rPr>
                    <w:t>工程》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w:t>
                  </w:r>
                  <w:r>
                    <w:rPr>
                      <w:rFonts w:ascii="仿宋_GB2312" w:hAnsi="仿宋_GB2312" w:cs="仿宋_GB2312" w:eastAsia="仿宋_GB2312"/>
                      <w:sz w:val="24"/>
                    </w:rPr>
                    <w:t>/T</w:t>
                  </w:r>
                  <w:r>
                    <w:rPr>
                      <w:rFonts w:ascii="仿宋_GB2312" w:hAnsi="仿宋_GB2312" w:cs="仿宋_GB2312" w:eastAsia="仿宋_GB2312"/>
                      <w:sz w:val="24"/>
                    </w:rPr>
                    <w:t xml:space="preserve"> </w:t>
                  </w:r>
                  <w:r>
                    <w:rPr>
                      <w:rFonts w:ascii="仿宋_GB2312" w:hAnsi="仿宋_GB2312" w:cs="仿宋_GB2312" w:eastAsia="仿宋_GB2312"/>
                      <w:sz w:val="24"/>
                    </w:rPr>
                    <w:t>63</w:t>
                  </w:r>
                  <w:r>
                    <w:rPr>
                      <w:rFonts w:ascii="仿宋_GB2312" w:hAnsi="仿宋_GB2312" w:cs="仿宋_GB2312" w:eastAsia="仿宋_GB2312"/>
                      <w:sz w:val="24"/>
                    </w:rPr>
                    <w:t>1.1</w:t>
                  </w:r>
                  <w:r>
                    <w:rPr>
                      <w:rFonts w:ascii="仿宋_GB2312" w:hAnsi="仿宋_GB2312" w:cs="仿宋_GB2312" w:eastAsia="仿宋_GB2312"/>
                      <w:sz w:val="24"/>
                    </w:rPr>
                    <w:t>-20</w:t>
                  </w:r>
                  <w:r>
                    <w:rPr>
                      <w:rFonts w:ascii="仿宋_GB2312" w:hAnsi="仿宋_GB2312" w:cs="仿宋_GB2312" w:eastAsia="仿宋_GB2312"/>
                      <w:sz w:val="24"/>
                    </w:rPr>
                    <w:t>25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7</w:t>
                  </w:r>
                </w:p>
              </w:tc>
              <w:tc>
                <w:tcPr>
                  <w:tcW w:type="dxa" w:w="358"/>
                  <w:vMerge/>
                  <w:tcBorders>
                    <w:top w:val="none" w:color="000000" w:sz="4"/>
                    <w:left w:val="single" w:color="000000" w:sz="4"/>
                    <w:bottom w:val="single" w:color="000000" w:sz="4"/>
                    <w:right w:val="single" w:color="000000" w:sz="4"/>
                  </w:tcBorders>
                </w:tc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水利水电工程单元工程施工质量验收标准</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堤防与河道整治</w:t>
                  </w:r>
                  <w:r>
                    <w:rPr>
                      <w:rFonts w:ascii="仿宋_GB2312" w:hAnsi="仿宋_GB2312" w:cs="仿宋_GB2312" w:eastAsia="仿宋_GB2312"/>
                      <w:sz w:val="24"/>
                    </w:rPr>
                    <w:t>工程》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w:t>
                  </w:r>
                  <w:r>
                    <w:rPr>
                      <w:rFonts w:ascii="仿宋_GB2312" w:hAnsi="仿宋_GB2312" w:cs="仿宋_GB2312" w:eastAsia="仿宋_GB2312"/>
                      <w:sz w:val="24"/>
                    </w:rPr>
                    <w:t>/T</w:t>
                  </w:r>
                  <w:r>
                    <w:rPr>
                      <w:rFonts w:ascii="仿宋_GB2312" w:hAnsi="仿宋_GB2312" w:cs="仿宋_GB2312" w:eastAsia="仿宋_GB2312"/>
                      <w:sz w:val="24"/>
                    </w:rPr>
                    <w:t xml:space="preserve"> </w:t>
                  </w:r>
                  <w:r>
                    <w:rPr>
                      <w:rFonts w:ascii="仿宋_GB2312" w:hAnsi="仿宋_GB2312" w:cs="仿宋_GB2312" w:eastAsia="仿宋_GB2312"/>
                      <w:sz w:val="24"/>
                    </w:rPr>
                    <w:t>63</w:t>
                  </w:r>
                  <w:r>
                    <w:rPr>
                      <w:rFonts w:ascii="仿宋_GB2312" w:hAnsi="仿宋_GB2312" w:cs="仿宋_GB2312" w:eastAsia="仿宋_GB2312"/>
                      <w:sz w:val="24"/>
                    </w:rPr>
                    <w:t>1.4</w:t>
                  </w:r>
                  <w:r>
                    <w:rPr>
                      <w:rFonts w:ascii="仿宋_GB2312" w:hAnsi="仿宋_GB2312" w:cs="仿宋_GB2312" w:eastAsia="仿宋_GB2312"/>
                      <w:sz w:val="24"/>
                    </w:rPr>
                    <w:t>-20</w:t>
                  </w:r>
                  <w:r>
                    <w:rPr>
                      <w:rFonts w:ascii="仿宋_GB2312" w:hAnsi="仿宋_GB2312" w:cs="仿宋_GB2312" w:eastAsia="仿宋_GB2312"/>
                      <w:sz w:val="24"/>
                    </w:rPr>
                    <w:t>25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8</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质量评定</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1"/>
                    </w:rPr>
                    <w:t>《水利水电工程施工质量检验与评定规程》</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SL/T223-20</w:t>
                  </w:r>
                  <w:r>
                    <w:rPr>
                      <w:rFonts w:ascii="仿宋_GB2312" w:hAnsi="仿宋_GB2312" w:cs="仿宋_GB2312" w:eastAsia="仿宋_GB2312"/>
                      <w:sz w:val="24"/>
                    </w:rPr>
                    <w:t>25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9</w:t>
                  </w:r>
                </w:p>
              </w:tc>
              <w:tc>
                <w:tcPr>
                  <w:tcW w:type="dxa" w:w="358"/>
                  <w:vMerge/>
                  <w:tcBorders>
                    <w:top w:val="none" w:color="000000" w:sz="4"/>
                    <w:left w:val="single" w:color="000000" w:sz="4"/>
                    <w:bottom w:val="single" w:color="000000" w:sz="4"/>
                    <w:right w:val="single" w:color="000000" w:sz="4"/>
                  </w:tcBorders>
                </w:tcP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rPr>
                    <w:t>初设批复及设计文件、检测合同等</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检测类别、项目、内容、频率及时段</w:t>
            </w:r>
          </w:p>
          <w:tbl>
            <w:tblPr>
              <w:tblBorders>
                <w:top w:val="none" w:color="000000" w:sz="4"/>
                <w:left w:val="none" w:color="000000" w:sz="4"/>
                <w:bottom w:val="none" w:color="000000" w:sz="4"/>
                <w:right w:val="none" w:color="000000" w:sz="4"/>
                <w:insideH w:val="none"/>
                <w:insideV w:val="none"/>
              </w:tblBorders>
            </w:tblPr>
            <w:tblGrid>
              <w:gridCol w:w="229"/>
              <w:gridCol w:w="339"/>
              <w:gridCol w:w="737"/>
              <w:gridCol w:w="852"/>
              <w:gridCol w:w="390"/>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抽检项目</w:t>
                  </w:r>
                </w:p>
              </w:tc>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抽检频率及取样部位</w:t>
                  </w:r>
                </w:p>
              </w:tc>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检测时段</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水泥</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00t</w:t>
                  </w:r>
                  <w:r>
                    <w:rPr>
                      <w:rFonts w:ascii="仿宋_GB2312" w:hAnsi="仿宋_GB2312" w:cs="仿宋_GB2312" w:eastAsia="仿宋_GB2312"/>
                      <w:sz w:val="21"/>
                    </w:rPr>
                    <w:t>，且每单位工程不少于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凝结时间、安定性、</w:t>
                  </w:r>
                  <w:r>
                    <w:rPr>
                      <w:rFonts w:ascii="仿宋_GB2312" w:hAnsi="仿宋_GB2312" w:cs="仿宋_GB2312" w:eastAsia="仿宋_GB2312"/>
                      <w:sz w:val="21"/>
                    </w:rPr>
                    <w:t>3d</w:t>
                  </w:r>
                  <w:r>
                    <w:rPr>
                      <w:rFonts w:ascii="仿宋_GB2312" w:hAnsi="仿宋_GB2312" w:cs="仿宋_GB2312" w:eastAsia="仿宋_GB2312"/>
                      <w:sz w:val="21"/>
                    </w:rPr>
                    <w:t>及</w:t>
                  </w:r>
                  <w:r>
                    <w:rPr>
                      <w:rFonts w:ascii="仿宋_GB2312" w:hAnsi="仿宋_GB2312" w:cs="仿宋_GB2312" w:eastAsia="仿宋_GB2312"/>
                      <w:sz w:val="21"/>
                    </w:rPr>
                    <w:t>28d</w:t>
                  </w:r>
                  <w:r>
                    <w:rPr>
                      <w:rFonts w:ascii="仿宋_GB2312" w:hAnsi="仿宋_GB2312" w:cs="仿宋_GB2312" w:eastAsia="仿宋_GB2312"/>
                      <w:sz w:val="21"/>
                    </w:rPr>
                    <w:t>抗压、抗折强度</w:t>
                  </w:r>
                  <w:r>
                    <w:rPr>
                      <w:rFonts w:ascii="仿宋_GB2312" w:hAnsi="仿宋_GB2312" w:cs="仿宋_GB2312" w:eastAsia="仿宋_GB2312"/>
                      <w:sz w:val="21"/>
                    </w:rPr>
                    <w:t>等</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细骨</w:t>
                  </w:r>
                  <w:r>
                    <w:rPr>
                      <w:rFonts w:ascii="仿宋_GB2312" w:hAnsi="仿宋_GB2312" w:cs="仿宋_GB2312" w:eastAsia="仿宋_GB2312"/>
                      <w:sz w:val="21"/>
                    </w:rPr>
                    <w:t>料</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000m</w:t>
                  </w:r>
                  <w:r>
                    <w:rPr>
                      <w:rFonts w:ascii="仿宋_GB2312" w:hAnsi="仿宋_GB2312" w:cs="仿宋_GB2312" w:eastAsia="仿宋_GB2312"/>
                      <w:sz w:val="21"/>
                      <w:vertAlign w:val="superscript"/>
                    </w:rPr>
                    <w:t>3</w:t>
                  </w:r>
                  <w:r>
                    <w:rPr>
                      <w:rFonts w:ascii="仿宋_GB2312" w:hAnsi="仿宋_GB2312" w:cs="仿宋_GB2312" w:eastAsia="仿宋_GB2312"/>
                      <w:sz w:val="21"/>
                    </w:rPr>
                    <w:t>，且每单位工程不少于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颗粒级配、含泥量、</w:t>
                  </w:r>
                </w:p>
                <w:p>
                  <w:pPr>
                    <w:pStyle w:val="null3"/>
                    <w:jc w:val="center"/>
                  </w:pPr>
                  <w:r>
                    <w:rPr>
                      <w:rFonts w:ascii="仿宋_GB2312" w:hAnsi="仿宋_GB2312" w:cs="仿宋_GB2312" w:eastAsia="仿宋_GB2312"/>
                      <w:sz w:val="21"/>
                    </w:rPr>
                    <w:t>泥块含量</w:t>
                  </w:r>
                  <w:r>
                    <w:rPr>
                      <w:rFonts w:ascii="仿宋_GB2312" w:hAnsi="仿宋_GB2312" w:cs="仿宋_GB2312" w:eastAsia="仿宋_GB2312"/>
                      <w:sz w:val="21"/>
                    </w:rPr>
                    <w:t>等</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粗骨</w:t>
                  </w:r>
                  <w:r>
                    <w:rPr>
                      <w:rFonts w:ascii="仿宋_GB2312" w:hAnsi="仿宋_GB2312" w:cs="仿宋_GB2312" w:eastAsia="仿宋_GB2312"/>
                      <w:sz w:val="21"/>
                    </w:rPr>
                    <w:t>料</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000m</w:t>
                  </w:r>
                  <w:r>
                    <w:rPr>
                      <w:rFonts w:ascii="仿宋_GB2312" w:hAnsi="仿宋_GB2312" w:cs="仿宋_GB2312" w:eastAsia="仿宋_GB2312"/>
                      <w:sz w:val="21"/>
                      <w:vertAlign w:val="superscript"/>
                    </w:rPr>
                    <w:t>3</w:t>
                  </w:r>
                  <w:r>
                    <w:rPr>
                      <w:rFonts w:ascii="仿宋_GB2312" w:hAnsi="仿宋_GB2312" w:cs="仿宋_GB2312" w:eastAsia="仿宋_GB2312"/>
                      <w:sz w:val="21"/>
                    </w:rPr>
                    <w:t>，且每单位工程不少于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颗粒级配、含泥量、泥块含量、针片状含量、压碎指标</w:t>
                  </w:r>
                  <w:r>
                    <w:rPr>
                      <w:rFonts w:ascii="仿宋_GB2312" w:hAnsi="仿宋_GB2312" w:cs="仿宋_GB2312" w:eastAsia="仿宋_GB2312"/>
                      <w:sz w:val="21"/>
                    </w:rPr>
                    <w:t>等</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每种规格：</w:t>
                  </w:r>
                </w:p>
                <w:p>
                  <w:pPr>
                    <w:pStyle w:val="null3"/>
                    <w:jc w:val="center"/>
                  </w:pPr>
                  <w:r>
                    <w:rPr>
                      <w:rFonts w:ascii="仿宋_GB2312" w:hAnsi="仿宋_GB2312" w:cs="仿宋_GB2312" w:eastAsia="仿宋_GB2312"/>
                      <w:sz w:val="21"/>
                    </w:rPr>
                    <w:t>每批</w:t>
                  </w:r>
                  <w:r>
                    <w:rPr>
                      <w:rFonts w:ascii="仿宋_GB2312" w:hAnsi="仿宋_GB2312" w:cs="仿宋_GB2312" w:eastAsia="仿宋_GB2312"/>
                      <w:sz w:val="21"/>
                    </w:rPr>
                    <w:t>2</w:t>
                  </w:r>
                  <w:r>
                    <w:rPr>
                      <w:rFonts w:ascii="仿宋_GB2312" w:hAnsi="仿宋_GB2312" w:cs="仿宋_GB2312" w:eastAsia="仿宋_GB2312"/>
                      <w:sz w:val="21"/>
                    </w:rPr>
                    <w:t>00t</w:t>
                  </w:r>
                  <w:r>
                    <w:rPr>
                      <w:rFonts w:ascii="仿宋_GB2312" w:hAnsi="仿宋_GB2312" w:cs="仿宋_GB2312" w:eastAsia="仿宋_GB2312"/>
                      <w:sz w:val="21"/>
                    </w:rPr>
                    <w:t>检测</w:t>
                  </w:r>
                  <w:r>
                    <w:rPr>
                      <w:rFonts w:ascii="仿宋_GB2312" w:hAnsi="仿宋_GB2312" w:cs="仿宋_GB2312" w:eastAsia="仿宋_GB2312"/>
                      <w:sz w:val="21"/>
                    </w:rPr>
                    <w:t>1</w:t>
                  </w:r>
                  <w:r>
                    <w:rPr>
                      <w:rFonts w:ascii="仿宋_GB2312" w:hAnsi="仿宋_GB2312" w:cs="仿宋_GB2312" w:eastAsia="仿宋_GB2312"/>
                      <w:sz w:val="21"/>
                    </w:rPr>
                    <w:t>组，</w:t>
                  </w:r>
                </w:p>
                <w:p>
                  <w:pPr>
                    <w:pStyle w:val="null3"/>
                    <w:jc w:val="center"/>
                  </w:pPr>
                  <w:r>
                    <w:rPr>
                      <w:rFonts w:ascii="仿宋_GB2312" w:hAnsi="仿宋_GB2312" w:cs="仿宋_GB2312" w:eastAsia="仿宋_GB2312"/>
                      <w:sz w:val="21"/>
                    </w:rPr>
                    <w:t>且不少于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屈服强度、抗拉强度、断后伸长率、冷弯</w:t>
                  </w:r>
                  <w:r>
                    <w:rPr>
                      <w:rFonts w:ascii="仿宋_GB2312" w:hAnsi="仿宋_GB2312" w:cs="仿宋_GB2312" w:eastAsia="仿宋_GB2312"/>
                      <w:sz w:val="21"/>
                    </w:rPr>
                    <w:t>等</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岩石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每个部位不少于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w:t>
                  </w:r>
                  <w:r>
                    <w:rPr>
                      <w:rFonts w:ascii="仿宋_GB2312" w:hAnsi="仿宋_GB2312" w:cs="仿宋_GB2312" w:eastAsia="仿宋_GB2312"/>
                      <w:sz w:val="21"/>
                    </w:rPr>
                    <w:t>轴抗压</w:t>
                  </w:r>
                  <w:r>
                    <w:rPr>
                      <w:rFonts w:ascii="仿宋_GB2312" w:hAnsi="仿宋_GB2312" w:cs="仿宋_GB2312" w:eastAsia="仿宋_GB2312"/>
                      <w:sz w:val="21"/>
                    </w:rPr>
                    <w:t>强度、</w:t>
                  </w:r>
                </w:p>
                <w:p>
                  <w:pPr>
                    <w:pStyle w:val="null3"/>
                    <w:jc w:val="center"/>
                  </w:pPr>
                  <w:r>
                    <w:rPr>
                      <w:rFonts w:ascii="仿宋_GB2312" w:hAnsi="仿宋_GB2312" w:cs="仿宋_GB2312" w:eastAsia="仿宋_GB2312"/>
                      <w:sz w:val="21"/>
                    </w:rPr>
                    <w:t>软化系数</w:t>
                  </w:r>
                  <w:r>
                    <w:rPr>
                      <w:rFonts w:ascii="仿宋_GB2312" w:hAnsi="仿宋_GB2312" w:cs="仿宋_GB2312" w:eastAsia="仿宋_GB2312"/>
                      <w:sz w:val="21"/>
                    </w:rPr>
                    <w:t>等</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w:t>
                  </w:r>
                </w:p>
                <w:p>
                  <w:pPr>
                    <w:pStyle w:val="null3"/>
                    <w:jc w:val="center"/>
                  </w:pPr>
                  <w:r>
                    <w:rPr>
                      <w:rFonts w:ascii="仿宋_GB2312" w:hAnsi="仿宋_GB2312" w:cs="仿宋_GB2312" w:eastAsia="仿宋_GB2312"/>
                      <w:sz w:val="21"/>
                    </w:rPr>
                    <w:t>试块</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 xml:space="preserve">/500 </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，且每一结构部位不少于</w:t>
                  </w:r>
                  <w:r>
                    <w:rPr>
                      <w:rFonts w:ascii="仿宋_GB2312" w:hAnsi="仿宋_GB2312" w:cs="仿宋_GB2312" w:eastAsia="仿宋_GB2312"/>
                      <w:sz w:val="21"/>
                    </w:rPr>
                    <w:t>1</w:t>
                  </w:r>
                  <w:r>
                    <w:rPr>
                      <w:rFonts w:ascii="仿宋_GB2312" w:hAnsi="仿宋_GB2312" w:cs="仿宋_GB2312" w:eastAsia="仿宋_GB2312"/>
                      <w:sz w:val="21"/>
                    </w:rPr>
                    <w:t>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抗压强度</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工程进度</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砂浆试块</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w:t>
                  </w:r>
                  <w:r>
                    <w:rPr>
                      <w:rFonts w:ascii="仿宋_GB2312" w:hAnsi="仿宋_GB2312" w:cs="仿宋_GB2312" w:eastAsia="仿宋_GB2312"/>
                      <w:sz w:val="21"/>
                    </w:rPr>
                    <w:t>1000m</w:t>
                  </w:r>
                  <w:r>
                    <w:rPr>
                      <w:rFonts w:ascii="仿宋_GB2312" w:hAnsi="仿宋_GB2312" w:cs="仿宋_GB2312" w:eastAsia="仿宋_GB2312"/>
                      <w:sz w:val="21"/>
                    </w:rPr>
                    <w:t>³砌体同一强度等级的砂浆，取样不得少于一组。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抗压强度</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工程进度</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土工回填</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/1000m</w:t>
                  </w:r>
                  <w:r>
                    <w:rPr>
                      <w:rFonts w:ascii="仿宋_GB2312" w:hAnsi="仿宋_GB2312" w:cs="仿宋_GB2312" w:eastAsia="仿宋_GB2312"/>
                      <w:sz w:val="21"/>
                    </w:rPr>
                    <w:t>³，且每</w:t>
                  </w:r>
                  <w:r>
                    <w:rPr>
                      <w:rFonts w:ascii="仿宋_GB2312" w:hAnsi="仿宋_GB2312" w:cs="仿宋_GB2312" w:eastAsia="仿宋_GB2312"/>
                      <w:sz w:val="21"/>
                    </w:rPr>
                    <w:t>3</w:t>
                  </w:r>
                  <w:r>
                    <w:rPr>
                      <w:rFonts w:ascii="仿宋_GB2312" w:hAnsi="仿宋_GB2312" w:cs="仿宋_GB2312" w:eastAsia="仿宋_GB2312"/>
                      <w:sz w:val="21"/>
                    </w:rPr>
                    <w:t>层为一个单元层，每单元层不少于</w:t>
                  </w:r>
                  <w:r>
                    <w:rPr>
                      <w:rFonts w:ascii="仿宋_GB2312" w:hAnsi="仿宋_GB2312" w:cs="仿宋_GB2312" w:eastAsia="仿宋_GB2312"/>
                      <w:sz w:val="21"/>
                    </w:rPr>
                    <w:t>3</w:t>
                  </w:r>
                  <w:r>
                    <w:rPr>
                      <w:rFonts w:ascii="仿宋_GB2312" w:hAnsi="仿宋_GB2312" w:cs="仿宋_GB2312" w:eastAsia="仿宋_GB2312"/>
                      <w:sz w:val="21"/>
                    </w:rPr>
                    <w:t>个点</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相对密度或压实度</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工程进度</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格宾笼</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同厂家、同规格，同批号检测一次</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丝径、钢丝抗拉强度、钢丝伸长率、网孔尺寸；镀锌量、网片抗拉强度依据设计要求。</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止水带</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同厂家、同规格、</w:t>
                  </w:r>
                  <w:r>
                    <w:rPr>
                      <w:rFonts w:ascii="仿宋_GB2312" w:hAnsi="仿宋_GB2312" w:cs="仿宋_GB2312" w:eastAsia="仿宋_GB2312"/>
                      <w:sz w:val="21"/>
                    </w:rPr>
                    <w:t>同批号</w:t>
                  </w:r>
                  <w:r>
                    <w:rPr>
                      <w:rFonts w:ascii="仿宋_GB2312" w:hAnsi="仿宋_GB2312" w:cs="仿宋_GB2312" w:eastAsia="仿宋_GB2312"/>
                      <w:sz w:val="21"/>
                    </w:rPr>
                    <w:t>,</w:t>
                  </w:r>
                  <w:r>
                    <w:rPr>
                      <w:rFonts w:ascii="仿宋_GB2312" w:hAnsi="仿宋_GB2312" w:cs="仿宋_GB2312" w:eastAsia="仿宋_GB2312"/>
                      <w:sz w:val="21"/>
                    </w:rPr>
                    <w:t>检测一次</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拉伸强度、断裂伸长率、撕裂强度。</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泡沫塑料板</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同厂家、同规格、</w:t>
                  </w:r>
                  <w:r>
                    <w:rPr>
                      <w:rFonts w:ascii="仿宋_GB2312" w:hAnsi="仿宋_GB2312" w:cs="仿宋_GB2312" w:eastAsia="仿宋_GB2312"/>
                      <w:sz w:val="21"/>
                    </w:rPr>
                    <w:t>同批号</w:t>
                  </w:r>
                  <w:r>
                    <w:rPr>
                      <w:rFonts w:ascii="仿宋_GB2312" w:hAnsi="仿宋_GB2312" w:cs="仿宋_GB2312" w:eastAsia="仿宋_GB2312"/>
                      <w:sz w:val="21"/>
                    </w:rPr>
                    <w:t>,</w:t>
                  </w:r>
                  <w:r>
                    <w:rPr>
                      <w:rFonts w:ascii="仿宋_GB2312" w:hAnsi="仿宋_GB2312" w:cs="仿宋_GB2312" w:eastAsia="仿宋_GB2312"/>
                      <w:sz w:val="21"/>
                    </w:rPr>
                    <w:t>检测一次</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表观密度、抗拉强度、撕裂强度、硬度（邵尔</w:t>
                  </w:r>
                  <w:r>
                    <w:rPr>
                      <w:rFonts w:ascii="仿宋_GB2312" w:hAnsi="仿宋_GB2312" w:cs="仿宋_GB2312" w:eastAsia="仿宋_GB2312"/>
                      <w:sz w:val="21"/>
                    </w:rPr>
                    <w:t>A.</w:t>
                  </w:r>
                  <w:r>
                    <w:rPr>
                      <w:rFonts w:ascii="仿宋_GB2312" w:hAnsi="仿宋_GB2312" w:cs="仿宋_GB2312" w:eastAsia="仿宋_GB2312"/>
                      <w:sz w:val="21"/>
                    </w:rPr>
                    <w:t>度）</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材料进场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w:t>
                  </w:r>
                </w:p>
                <w:p>
                  <w:pPr>
                    <w:pStyle w:val="null3"/>
                    <w:jc w:val="center"/>
                  </w:pPr>
                  <w:r>
                    <w:rPr>
                      <w:rFonts w:ascii="仿宋_GB2312" w:hAnsi="仿宋_GB2312" w:cs="仿宋_GB2312" w:eastAsia="仿宋_GB2312"/>
                      <w:sz w:val="21"/>
                    </w:rPr>
                    <w:t>回弹强度</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每单位工程</w:t>
                  </w:r>
                </w:p>
                <w:p>
                  <w:pPr>
                    <w:pStyle w:val="null3"/>
                    <w:jc w:val="center"/>
                  </w:pPr>
                  <w:r>
                    <w:rPr>
                      <w:rFonts w:ascii="仿宋_GB2312" w:hAnsi="仿宋_GB2312" w:cs="仿宋_GB2312" w:eastAsia="仿宋_GB2312"/>
                      <w:sz w:val="21"/>
                    </w:rPr>
                    <w:t>不少于</w:t>
                  </w:r>
                  <w:r>
                    <w:rPr>
                      <w:rFonts w:ascii="仿宋_GB2312" w:hAnsi="仿宋_GB2312" w:cs="仿宋_GB2312" w:eastAsia="仿宋_GB2312"/>
                      <w:sz w:val="21"/>
                    </w:rPr>
                    <w:t>3</w:t>
                  </w:r>
                  <w:r>
                    <w:rPr>
                      <w:rFonts w:ascii="仿宋_GB2312" w:hAnsi="仿宋_GB2312" w:cs="仿宋_GB2312" w:eastAsia="仿宋_GB2312"/>
                      <w:sz w:val="21"/>
                    </w:rPr>
                    <w:t>处</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回弹强度、声波波速、</w:t>
                  </w:r>
                </w:p>
                <w:p>
                  <w:pPr>
                    <w:pStyle w:val="null3"/>
                    <w:jc w:val="center"/>
                  </w:pPr>
                  <w:r>
                    <w:rPr>
                      <w:rFonts w:ascii="仿宋_GB2312" w:hAnsi="仿宋_GB2312" w:cs="仿宋_GB2312" w:eastAsia="仿宋_GB2312"/>
                      <w:sz w:val="21"/>
                    </w:rPr>
                    <w:t>声波测缺</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过程及完工后集中抽检</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断面几何尺寸</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每单位工程测量</w:t>
                  </w:r>
                </w:p>
                <w:p>
                  <w:pPr>
                    <w:pStyle w:val="null3"/>
                    <w:jc w:val="center"/>
                  </w:pPr>
                  <w:r>
                    <w:rPr>
                      <w:rFonts w:ascii="仿宋_GB2312" w:hAnsi="仿宋_GB2312" w:cs="仿宋_GB2312" w:eastAsia="仿宋_GB2312"/>
                      <w:sz w:val="21"/>
                    </w:rPr>
                    <w:t>不少于</w:t>
                  </w:r>
                  <w:r>
                    <w:rPr>
                      <w:rFonts w:ascii="仿宋_GB2312" w:hAnsi="仿宋_GB2312" w:cs="仿宋_GB2312" w:eastAsia="仿宋_GB2312"/>
                      <w:sz w:val="21"/>
                    </w:rPr>
                    <w:t>3</w:t>
                  </w:r>
                  <w:r>
                    <w:rPr>
                      <w:rFonts w:ascii="仿宋_GB2312" w:hAnsi="仿宋_GB2312" w:cs="仿宋_GB2312" w:eastAsia="仿宋_GB2312"/>
                      <w:sz w:val="21"/>
                    </w:rPr>
                    <w:t>个断面</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断面几何尺寸、平整度等</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过程及完工后集中抽检</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23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具体抽检项目、抽检数量由实际工程量决定</w:t>
                  </w:r>
                  <w:r>
                    <w:rPr>
                      <w:rFonts w:ascii="仿宋_GB2312" w:hAnsi="仿宋_GB2312" w:cs="仿宋_GB2312" w:eastAsia="仿宋_GB2312"/>
                      <w:sz w:val="21"/>
                    </w:rPr>
                    <w:t>，总体满足下列原则：</w:t>
                  </w:r>
                </w:p>
                <w:p>
                  <w:pPr>
                    <w:pStyle w:val="null3"/>
                  </w:pPr>
                  <w:r>
                    <w:rPr>
                      <w:rFonts w:ascii="仿宋_GB2312" w:hAnsi="仿宋_GB2312" w:cs="仿宋_GB2312" w:eastAsia="仿宋_GB2312"/>
                      <w:sz w:val="21"/>
                    </w:rPr>
                    <w:t>1、原材料检测数量为施工单位检测数量的</w:t>
                  </w:r>
                  <w:r>
                    <w:rPr>
                      <w:rFonts w:ascii="仿宋_GB2312" w:hAnsi="仿宋_GB2312" w:cs="仿宋_GB2312" w:eastAsia="仿宋_GB2312"/>
                      <w:sz w:val="21"/>
                    </w:rPr>
                    <w:t>1/5~1/10.</w:t>
                  </w:r>
                </w:p>
                <w:p>
                  <w:pPr>
                    <w:pStyle w:val="null3"/>
                  </w:pPr>
                  <w:r>
                    <w:rPr>
                      <w:rFonts w:ascii="仿宋_GB2312" w:hAnsi="仿宋_GB2312" w:cs="仿宋_GB2312" w:eastAsia="仿宋_GB2312"/>
                      <w:sz w:val="21"/>
                    </w:rPr>
                    <w:t>2</w:t>
                  </w:r>
                  <w:r>
                    <w:rPr>
                      <w:rFonts w:ascii="仿宋_GB2312" w:hAnsi="仿宋_GB2312" w:cs="仿宋_GB2312" w:eastAsia="仿宋_GB2312"/>
                      <w:sz w:val="21"/>
                    </w:rPr>
                    <w:t>、中间产品、构（部）件的检测数量为施工单位检测数量的</w:t>
                  </w:r>
                  <w:r>
                    <w:rPr>
                      <w:rFonts w:ascii="仿宋_GB2312" w:hAnsi="仿宋_GB2312" w:cs="仿宋_GB2312" w:eastAsia="仿宋_GB2312"/>
                      <w:sz w:val="21"/>
                    </w:rPr>
                    <w:t>1/10~1/20</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pPr>
            <w:r>
              <w:rPr>
                <w:rFonts w:ascii="仿宋_GB2312" w:hAnsi="仿宋_GB2312" w:cs="仿宋_GB2312" w:eastAsia="仿宋_GB2312"/>
                <w:sz w:val="28"/>
              </w:rPr>
              <w:t>将抽检数据进行整理，并及时向业主反馈检测结果。工程竣工后，根据相关规程、规范对抽检数据进行评定分析，一个月内出具正式检测报告。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240日历天（同施工工期）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满足竣工验收要求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合同签订工程开工后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工程进度80%时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1、具有独立承担民事责任能力的合法注册的法人或其他组织或自然人，提供有效的营业执照或事业单位法人证书或其他， 自然人提供其身份证明；2、税收缴纳证明递交响应文件截止时间前一年内至少3个月的纳税证明或税务机关开具的完税证明（任意税种），纳税证明或完税证明上应有代收机构或税务机关的公章或业务专用章，依法免税的单位应提供相关证明材料；3、社会保障资金缴纳证明：递交响应文件截止时间前一年内至少3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4 、具有履行本合同所必需的设备和专业技术能力的说明及承诺（提供承诺书）；5、出具参加本次政府采购活动前三年内在经营活动中没有重大违法记录的书面声明； 注：事业单位参与磋商可不提供财务状况报告、社会保障资金缴纳证明及税收缴纳证明。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在项目电子化交易系统中按要求上传相应证明文件并进行电子签章。提供2024年度经审计的完整财务审计报告（审计报告应当包含报告正文、资产负债表、利润表、现金流量表及所有者权益变动表（无所有者权益表的提供书面说明）、附注和会计师事务所营业执照 , 报告正文应当有会计师事务所公章，2个注册会计师的证书、签字和盖章。成立时间至提交响应文件截止时间不足一年的可提供成立后任意时段的资产负债表），或2025年2月1日至今期间银行出具的资信证明（附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 na.gov.cn)列入“失信被执行人（页面跳转至“中国执行信息公开网”http://zxgk.court.gov.c n/shixin/）、重大税收违法失信主体的供应商 ；不得为中国政府采购网(http://www.ccgp.g 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供应商须具备水利工程质量检测混凝土、岩土、量测三个专业乙级及以上资质证书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项目检测负责人要求</w:t>
            </w:r>
          </w:p>
        </w:tc>
        <w:tc>
          <w:tcPr>
            <w:tcW w:type="dxa" w:w="3322"/>
          </w:tcPr>
          <w:p>
            <w:pPr>
              <w:pStyle w:val="null3"/>
            </w:pPr>
            <w:r>
              <w:rPr>
                <w:rFonts w:ascii="仿宋_GB2312" w:hAnsi="仿宋_GB2312" w:cs="仿宋_GB2312" w:eastAsia="仿宋_GB2312"/>
              </w:rPr>
              <w:t>项目检测负责人具备水利水电工程及相关专业中级以上技术职称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满足竞争性磋商文件要求且第二次（最终）磋商报价最低的供应商的价格为磋商基准价，其价格分为满分。其他供应商的价格分统一按照下列公式计算：磋商报价得分=（磋商基准价/第二次（最终）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检测大纲的完整性和合理性</w:t>
            </w:r>
          </w:p>
        </w:tc>
        <w:tc>
          <w:tcPr>
            <w:tcW w:type="dxa" w:w="2492"/>
          </w:tcPr>
          <w:p>
            <w:pPr>
              <w:pStyle w:val="null3"/>
            </w:pPr>
            <w:r>
              <w:rPr>
                <w:rFonts w:ascii="仿宋_GB2312" w:hAnsi="仿宋_GB2312" w:cs="仿宋_GB2312" w:eastAsia="仿宋_GB2312"/>
              </w:rPr>
              <w:t>大纲编制内容完善、层次分明、措施齐全、风险分析合理得10-15分；基本合理得5-10分；合理性低得0-5分；描述不合理或无此项描述者不得分。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检测依据及方法</w:t>
            </w:r>
          </w:p>
        </w:tc>
        <w:tc>
          <w:tcPr>
            <w:tcW w:type="dxa" w:w="2492"/>
          </w:tcPr>
          <w:p>
            <w:pPr>
              <w:pStyle w:val="null3"/>
            </w:pPr>
            <w:r>
              <w:rPr>
                <w:rFonts w:ascii="仿宋_GB2312" w:hAnsi="仿宋_GB2312" w:cs="仿宋_GB2312" w:eastAsia="仿宋_GB2312"/>
              </w:rPr>
              <w:t>制定的检测依据及方法符合现行规范要求，且满足工程要求的得5-10分；基本满足要求得0-5分；描述完全不能满足工程要求或无此项描述者不得分。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项目检测计划满足要求</w:t>
            </w:r>
          </w:p>
        </w:tc>
        <w:tc>
          <w:tcPr>
            <w:tcW w:type="dxa" w:w="2492"/>
          </w:tcPr>
          <w:p>
            <w:pPr>
              <w:pStyle w:val="null3"/>
            </w:pPr>
            <w:r>
              <w:rPr>
                <w:rFonts w:ascii="仿宋_GB2312" w:hAnsi="仿宋_GB2312" w:cs="仿宋_GB2312" w:eastAsia="仿宋_GB2312"/>
              </w:rPr>
              <w:t>项目的检测种类、数量、频次及要点满足要求得4-8分；基本满足要求得0-4分；描述完全不能满足工程要求或无此项描述者不得分。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质量检测控制的程序、措施</w:t>
            </w:r>
          </w:p>
        </w:tc>
        <w:tc>
          <w:tcPr>
            <w:tcW w:type="dxa" w:w="2492"/>
          </w:tcPr>
          <w:p>
            <w:pPr>
              <w:pStyle w:val="null3"/>
            </w:pPr>
            <w:r>
              <w:rPr>
                <w:rFonts w:ascii="仿宋_GB2312" w:hAnsi="仿宋_GB2312" w:cs="仿宋_GB2312" w:eastAsia="仿宋_GB2312"/>
              </w:rPr>
              <w:t>检测程序规范、措施有力、质量得到保证者得3-6分；基本满足要求得0-3分；描述不合理或无此项描述者不得分。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拟投入本工程的检测、测量及办公设备满足需要者得5分；否则酌情扣分。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1.组织机构健全，专业人员配备齐全、合理,职责划分明确，具备能承担检验检测任务的专业人员，完全满足采购需求得10-15分。 2.人员设置及人员分工安排不够清晰、职责划分不够明确，承担检验检测任务的专业人员基本满足采购需求得5-10分； 3.人员设置及人员分工安排不清晰、职责划分不明确，承担检验检测任务的专业人员不满足采购需求0-5分。 （参与项目检测人员应具有水利工程质量检测员职业资格或者具备水利水电工程及相关专业中级以上技术职称。）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应急检测方案</w:t>
            </w:r>
          </w:p>
        </w:tc>
        <w:tc>
          <w:tcPr>
            <w:tcW w:type="dxa" w:w="2492"/>
          </w:tcPr>
          <w:p>
            <w:pPr>
              <w:pStyle w:val="null3"/>
            </w:pPr>
            <w:r>
              <w:rPr>
                <w:rFonts w:ascii="仿宋_GB2312" w:hAnsi="仿宋_GB2312" w:cs="仿宋_GB2312" w:eastAsia="仿宋_GB2312"/>
              </w:rPr>
              <w:t>有应急检测方案，可应对随时可能发生的风险并提出解决措施，措施合理可行得3-5分； 有应急检测方案，对可能发生的风险提出解决措施基本可行得0-3分； 无应急检测方案或应急检测方案不可行不得分。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供应商自2022年10月以来承接过类似检测项目业绩，提供一个得2分，满分6分（以合同复印件加盖公章为准）不提供不得分。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