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版本号：ZC2025-GC-19820251111001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勉阳街道办中心小学运动场地改造提升项目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ZC2025-GC-198</w:t>
      </w:r>
      <w:r>
        <w:br/>
      </w:r>
      <w:r>
        <w:br/>
      </w:r>
      <w:r>
        <w:br/>
      </w:r>
    </w:p>
    <w:p>
      <w:pPr>
        <w:pStyle w:val="null3"/>
        <w:jc w:val="center"/>
        <w:outlineLvl w:val="2"/>
      </w:pPr>
      <w:r>
        <w:rPr>
          <w:rFonts w:ascii="仿宋_GB2312" w:hAnsi="仿宋_GB2312" w:cs="仿宋_GB2312" w:eastAsia="仿宋_GB2312"/>
          <w:sz w:val="28"/>
          <w:b/>
        </w:rPr>
        <w:t>勉县勉阳街道办中心小学</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勉县勉阳街道办中心小学</w:t>
      </w:r>
      <w:r>
        <w:rPr>
          <w:rFonts w:ascii="仿宋_GB2312" w:hAnsi="仿宋_GB2312" w:cs="仿宋_GB2312" w:eastAsia="仿宋_GB2312"/>
        </w:rPr>
        <w:t>委托，拟对</w:t>
      </w:r>
      <w:r>
        <w:rPr>
          <w:rFonts w:ascii="仿宋_GB2312" w:hAnsi="仿宋_GB2312" w:cs="仿宋_GB2312" w:eastAsia="仿宋_GB2312"/>
        </w:rPr>
        <w:t>勉阳街道办中心小学运动场地改造提升项目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ZC2025-GC-198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勉阳街道办中心小学运动场地改造提升项目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铺装塑胶地面3294.34m、人工草坪1719.76m；购置篮球架4套、羽毛球网5套、足球门2套、乒乓球台6套、太阳能庭院灯5盏(高度8米)；围墙丙烯酸墙面彩绘面积100平方米（详见工程量清单及图纸）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采购包1（勉阳街道办中心小学运动场地改造提升项目）：属于专门面向中小企业采购。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2、企业资质：供应商应具备应具备建设行政主管部门核发的建筑工程施工总承包三级及以上资质，并具有有效的安全生产许可证；</w:t>
      </w:r>
    </w:p>
    <w:p>
      <w:pPr>
        <w:pStyle w:val="null3"/>
      </w:pPr>
      <w:r>
        <w:rPr>
          <w:rFonts w:ascii="仿宋_GB2312" w:hAnsi="仿宋_GB2312" w:cs="仿宋_GB2312" w:eastAsia="仿宋_GB2312"/>
        </w:rPr>
        <w:t>3、拟派项目负责人资质：供应商拟派项目负责人具有建筑工程专业二级及以上注册建造师执业资格，具有有效的安全生产考核合格证书（建安B证），在本单位注册，且未担任其他在建工程项目的项目负责人(提供无在建项目承诺书)；</w:t>
      </w:r>
    </w:p>
    <w:p>
      <w:pPr>
        <w:pStyle w:val="null3"/>
      </w:pPr>
      <w:r>
        <w:rPr>
          <w:rFonts w:ascii="仿宋_GB2312" w:hAnsi="仿宋_GB2312" w:cs="仿宋_GB2312" w:eastAsia="仿宋_GB2312"/>
        </w:rPr>
        <w:t>4、供应商信誉要求：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5、非联合体磋商：本项目不接受联合体磋商（提供非联合体声明函）。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勉县勉阳街道办中心小学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勉县勉阳街道办高潮社区二组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勉县勉阳街道办中心小学经办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13369245516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西安市高新区高新三路9号新时代大厦西四楼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符宇寒、刘静静、毛鑫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代理服务费收费标准：1.本项目代理服务费用：经协商按预算金额的7‰进行计算，最终代理服务费为7140.00元 2.本项目造价咨询服务费：经协商按预算金额的2‰进行计算，最终造价咨询费为2040.00元 3.代理服务费及造价咨询费共计：人民币玖仟壹佰捌拾元整（¥9180.00） 4.由采购人在采购工作结束后5个工作日内一次性足额支付给采购代理机构。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勉县勉阳街道办中心小学</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勉县勉阳街道办中心小学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勉县勉阳街道办中心小学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联系人：符宇寒</w:t>
      </w:r>
    </w:p>
    <w:p>
      <w:pPr>
        <w:pStyle w:val="null3"/>
      </w:pPr>
      <w:r>
        <w:rPr>
          <w:rFonts w:ascii="仿宋_GB2312" w:hAnsi="仿宋_GB2312" w:cs="仿宋_GB2312" w:eastAsia="仿宋_GB2312"/>
        </w:rPr>
        <w:t>联系电话：028-88856058</w:t>
      </w:r>
    </w:p>
    <w:p>
      <w:pPr>
        <w:pStyle w:val="null3"/>
      </w:pPr>
      <w:r>
        <w:rPr>
          <w:rFonts w:ascii="仿宋_GB2312" w:hAnsi="仿宋_GB2312" w:cs="仿宋_GB2312" w:eastAsia="仿宋_GB2312"/>
        </w:rPr>
        <w:t>地址：西安市高新区高新三路9号新时代大厦西四楼</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勉阳街道办中心小学运动场地改造提升项目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标的名称：勉阳街道办中心小学运动场地改造提升项目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1.项目概况：</w:t>
            </w:r>
          </w:p>
          <w:p>
            <w:pPr>
              <w:pStyle w:val="null3"/>
              <w:ind w:firstLine="420"/>
            </w:pPr>
            <w:r>
              <w:rPr>
                <w:rFonts w:ascii="仿宋_GB2312" w:hAnsi="仿宋_GB2312" w:cs="仿宋_GB2312" w:eastAsia="仿宋_GB2312"/>
                <w:sz w:val="21"/>
                <w:color w:val="000000"/>
              </w:rPr>
              <w:t>铺装塑胶地面3294.34m、人工草坪1719.76m；购置篮球架4套、羽毛球网5套、足球门2套、乒乓球台6套、太阳能庭院灯5盏(高度8米)；围墙丙烯酸墙面彩绘面积100平方米;</w:t>
            </w:r>
          </w:p>
          <w:p>
            <w:pPr>
              <w:pStyle w:val="null3"/>
              <w:jc w:val="both"/>
            </w:pPr>
            <w:r>
              <w:rPr>
                <w:rFonts w:ascii="仿宋_GB2312" w:hAnsi="仿宋_GB2312" w:cs="仿宋_GB2312" w:eastAsia="仿宋_GB2312"/>
                <w:sz w:val="21"/>
                <w:color w:val="000000"/>
              </w:rPr>
              <w:t>2.工程量清单及图纸（详见附件）</w:t>
            </w:r>
          </w:p>
          <w:p>
            <w:pPr>
              <w:pStyle w:val="null3"/>
            </w:pPr>
            <w:r>
              <w:rPr>
                <w:rFonts w:ascii="仿宋_GB2312" w:hAnsi="仿宋_GB2312" w:cs="仿宋_GB2312" w:eastAsia="仿宋_GB2312"/>
                <w:sz w:val="21"/>
                <w:color w:val="000000"/>
              </w:rPr>
              <w:t>3.质保期：验收合格后1年</w:t>
            </w:r>
          </w:p>
          <w:p>
            <w:pPr>
              <w:pStyle w:val="null3"/>
            </w:pPr>
            <w:r>
              <w:rPr>
                <w:rFonts w:ascii="仿宋_GB2312" w:hAnsi="仿宋_GB2312" w:cs="仿宋_GB2312" w:eastAsia="仿宋_GB2312"/>
                <w:sz w:val="21"/>
                <w:color w:val="000000"/>
              </w:rPr>
              <w:t>4.质量标准：符合国家现行有关施工质量验收规范“合格”要求</w:t>
            </w:r>
          </w:p>
          <w:p>
            <w:pPr>
              <w:pStyle w:val="null3"/>
            </w:pPr>
            <w:r>
              <w:rPr>
                <w:rFonts w:ascii="仿宋_GB2312" w:hAnsi="仿宋_GB2312" w:cs="仿宋_GB2312" w:eastAsia="仿宋_GB2312"/>
                <w:sz w:val="21"/>
                <w:color w:val="000000"/>
              </w:rPr>
              <w:t>5.计划工期：20日历天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供应商应具备应具备建设行政主管部门核发的建筑工程施工总承包三级及以上资质，并具有有效的安全生产许可证；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供应商拟派项目负责人具有建筑工程专业二级及以上注册建造师执业资格，具有有效的安全生产考核合格证书（建安B证），在本单位注册，且未担任其他在建工程项目的项目负责人(提供无在建项目承诺书)；</w:t>
            </w:r>
          </w:p>
        </w:tc>
        <w:tc>
          <w:tcPr>
            <w:tcW w:type="dxa" w:w="1661"/>
          </w:tcPr>
          <w:p>
            <w:pPr>
              <w:pStyle w:val="null3"/>
            </w:pPr>
            <w:r>
              <w:rPr>
                <w:rFonts w:ascii="仿宋_GB2312" w:hAnsi="仿宋_GB2312" w:cs="仿宋_GB2312" w:eastAsia="仿宋_GB2312"/>
              </w:rPr>
              <w:t>项目管理机构组成表 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每轮总报价唯一且未超过本项目最高限价</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施工组织部署及施工总平面布置</w:t>
            </w:r>
          </w:p>
        </w:tc>
        <w:tc>
          <w:tcPr>
            <w:tcW w:type="dxa" w:w="2492"/>
          </w:tcPr>
          <w:p>
            <w:pPr>
              <w:pStyle w:val="null3"/>
            </w:pPr>
            <w:r>
              <w:rPr>
                <w:rFonts w:ascii="仿宋_GB2312" w:hAnsi="仿宋_GB2312" w:cs="仿宋_GB2312" w:eastAsia="仿宋_GB2312"/>
              </w:rPr>
              <w:t>1.施工组织部署详尽阐述，施工总平面布置明确具体且针对性充足的，得4分； 2.施工组织部署及施工总平面布置明确，且具有一定针对性的，得3分； 3.施工组织部署及施工总平面布置含糊，但具有一定针对性的，得2分； 4.施工组织部署及施工总平面布置含糊，内容空洞且不具有针对性的，得1分；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1.施工方案详细具体合理，衔接紧密且具有针对性，得9分； 2.施工方案详细具体且具有一定合理性，各阶段工作衔接基本紧密且具有一定针对性，得7分； 3.施工方案明确，各阶段工作有一定衔接性及针对性，得5分； 4.施工方案基本明确，各阶段工作衔接性及方案针对性不足，得3分； 5.施工方案含糊，各阶段工作无衔接无针对性，得1分；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确保施工进度的技术组织措施</w:t>
            </w:r>
          </w:p>
        </w:tc>
        <w:tc>
          <w:tcPr>
            <w:tcW w:type="dxa" w:w="2492"/>
          </w:tcPr>
          <w:p>
            <w:pPr>
              <w:pStyle w:val="null3"/>
            </w:pPr>
            <w:r>
              <w:rPr>
                <w:rFonts w:ascii="仿宋_GB2312" w:hAnsi="仿宋_GB2312" w:cs="仿宋_GB2312" w:eastAsia="仿宋_GB2312"/>
              </w:rPr>
              <w:t>1.施工进度计划详细具体，合理可行，施工进度表或施工网络图绘制规范、得当，有确保工期的技术组织措施且措施合理得当的，得7分； 2.施工进度计划明确且基本合理，有施工进度表或施工网络图，有确保工期的技术组织措施且措施内容基本合理的，得5分； 3.施工进度计划明确且基本合理，有施工进度表或施工网络图，确保工期的技术组织措施内容不全或不合理，且未贴合实际的，得3分。 4.施工进度计划含糊且合理性不足，无施工进度表或施工网络图，确保工期的技术组织措施内容不全或不合理，且未贴合实际的，得1分。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1.工程质量技术管理机构和制度完善，具有健全的质量管理体系，主要工序有完善合理的质量技术保证措施的，得7分； 2.工程质量技术管理机构和制度较完善，具有健全的质量管理体系，主要工序有较完善合理的质量技术保证措施的，得5分； 3.工程质量技术管理机构和制度明确，无质量管理体系，主要工序有较完善的质量技术保证措施的，得3分； 4.工程质量技术管理机构和制度含糊，无质量管理体系，主要工序无质量技术保证措施含糊或有实质性缺陷，得1分。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1.针对本项目安全生产的技术的组织措施详细具体切实可行的，得7分； 2.针对本项目安全生产的技术的组织措施明确且具有可行性，得5分； 3.针对本项目安全生产的技术的组织措施明确但可行性不足，得3分。 4.针对本项目安全生产的技术的组织措施粗略且可行性不足，得1分。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1.文明施工计划全面，文明施工组织措施合理可行的，得7分； 2.文明施工计划较全面，文明施工组织措施基本合理的，得5分； 3.文明施工计划较全面，文明施工组织措施不合理的，得3分。 4.文明施工计划不全面，文明施工组织措施不合理的，得1分。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确保施工环境保护措施</w:t>
            </w:r>
          </w:p>
        </w:tc>
        <w:tc>
          <w:tcPr>
            <w:tcW w:type="dxa" w:w="2492"/>
          </w:tcPr>
          <w:p>
            <w:pPr>
              <w:pStyle w:val="null3"/>
            </w:pPr>
            <w:r>
              <w:rPr>
                <w:rFonts w:ascii="仿宋_GB2312" w:hAnsi="仿宋_GB2312" w:cs="仿宋_GB2312" w:eastAsia="仿宋_GB2312"/>
              </w:rPr>
              <w:t>1.环境卫生管理制度及管理职责详细具体，施工环境保护措施（包括但不限于施工现场环保扬尘预防措施和垃圾清运保证措施）完善的，得7分； 2.环境卫生管理制度及管理职责明确；施工环境保护措施较完善的，得5分； 3.环境卫生管理制度及管理职责较明确，施工环境保护措施不完善，得3分。 4.环境卫生管理制度及管理职责含糊，施工环境保护措施不完善，得1分。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1.施工机械配备投入计划详细全面、完善合理，得5分； 2.施工机械配备投入计划较为全面，基本合理，得4分； 3.施工机械配备投入计划明确，基本合理的，得3分； 4.施工机械配备投入计划基本明确，合理性不足，得2分； 5.施工机械配备投入计划粗略，合理性不足，无法满足项目需求，得1分。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1.项目负责人具有建筑工程类中级及以上职称证书者得3分，最高得3分； 2.提供项目负责人2022年1月至今完成的类似业绩证明，每提供一份得2分，最高得2分； 注：以响应文件中所附的合同协议书复印件为准，时间以合同签订时间为准，无签订日期、无项目负责人名称、无关键页不得分，可以与企业业绩重复计分。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1、项目技术负责人：具有建筑类中级及以上职称证书者得2分，最高得2分； 2、施工员：具有合格有效的施工员岗位证得2分，最高得2分； 3、质量员：具有合格有效的质量员岗位证得2分，最高得2分； 4、安全员：具有合格有效的安全员岗位证2分，最高得2分； 注：以供应商提供的证明资料为准。未提供不得分。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供应商提供2022年1月至今完成的类似业绩证明，每提供一份得2分，最高得4分； 注：以响应文件中所附的合同协议书复印件为准，时间以合同签订时间为准，无签订日期或无关键页不得分。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1、评审范围：有效的磋商响应总报价（指经初审合格的供应商的磋商最终响应总报价）。 2、满足竞争性磋商文件要求且最终响应总报价价格最低的价格为磋商基准价，其价格分为满分。其他供应商的价格分统一按照下列公式计算： 磋商报价得分=（磋商基准价/最终响应总报价）×分值 3、评分分值计算保留小数点后两位，小数点后第三位“四舍五入”。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