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版本号：ZTDJ-HZCG-2025112620251127001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2025年中省政法转移支付自定装备（侦查取证设备）项目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ZTDJ-HZCG-20251126</w:t>
      </w:r>
      <w:r>
        <w:br/>
      </w:r>
      <w:r>
        <w:br/>
      </w:r>
      <w:r>
        <w:br/>
      </w:r>
    </w:p>
    <w:p>
      <w:pPr>
        <w:pStyle w:val="null3"/>
        <w:jc w:val="center"/>
        <w:outlineLvl w:val="2"/>
      </w:pPr>
      <w:r>
        <w:rPr>
          <w:rFonts w:ascii="仿宋_GB2312" w:hAnsi="仿宋_GB2312" w:cs="仿宋_GB2312" w:eastAsia="仿宋_GB2312"/>
          <w:sz w:val="28"/>
          <w:b/>
        </w:rPr>
        <w:t>勉县公安局</w:t>
      </w:r>
    </w:p>
    <w:p>
      <w:pPr>
        <w:pStyle w:val="null3"/>
        <w:jc w:val="center"/>
        <w:outlineLvl w:val="2"/>
      </w:pPr>
      <w:r>
        <w:rPr>
          <w:rFonts w:ascii="仿宋_GB2312" w:hAnsi="仿宋_GB2312" w:cs="仿宋_GB2312" w:eastAsia="仿宋_GB2312"/>
          <w:sz w:val="28"/>
          <w:b/>
        </w:rPr>
        <w:t>中拓达建项目管理有限公司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中拓达建项目管理有限公司</w:t>
      </w:r>
      <w:r>
        <w:rPr>
          <w:rFonts w:ascii="仿宋_GB2312" w:hAnsi="仿宋_GB2312" w:cs="仿宋_GB2312" w:eastAsia="仿宋_GB2312"/>
        </w:rPr>
        <w:t>（以下简称“代理机构”）受</w:t>
      </w:r>
      <w:r>
        <w:rPr>
          <w:rFonts w:ascii="仿宋_GB2312" w:hAnsi="仿宋_GB2312" w:cs="仿宋_GB2312" w:eastAsia="仿宋_GB2312"/>
        </w:rPr>
        <w:t>勉县公安局</w:t>
      </w:r>
      <w:r>
        <w:rPr>
          <w:rFonts w:ascii="仿宋_GB2312" w:hAnsi="仿宋_GB2312" w:cs="仿宋_GB2312" w:eastAsia="仿宋_GB2312"/>
        </w:rPr>
        <w:t>委托，拟对</w:t>
      </w:r>
      <w:r>
        <w:rPr>
          <w:rFonts w:ascii="仿宋_GB2312" w:hAnsi="仿宋_GB2312" w:cs="仿宋_GB2312" w:eastAsia="仿宋_GB2312"/>
        </w:rPr>
        <w:t>2025年中省政法转移支付自定装备（侦查取证设备）项目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ZTDJ-HZCG-20251126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2025年中省政法转移支付自定装备（侦查取证设备）项目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采购内容:勉县公安局2025年中省政法转移支付自定装备（侦查取证设备）项目；需满足的要求:符合勉县公安局 2025年中省政法转移支付自定装备（侦查取证设备）项目采购要求。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采购包1（2025年中省政法转移支付自定装备（侦查取证设备）项目合同包1）：属于专门面向中小企业采购。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相关证明文件：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p>
      <w:pPr>
        <w:pStyle w:val="null3"/>
      </w:pPr>
      <w:r>
        <w:rPr>
          <w:rFonts w:ascii="仿宋_GB2312" w:hAnsi="仿宋_GB2312" w:cs="仿宋_GB2312" w:eastAsia="仿宋_GB2312"/>
        </w:rPr>
        <w:t>2、法定代表人身份证明：须出具法定代表人身份证并与营业执照上信息一致。</w:t>
      </w:r>
    </w:p>
    <w:p>
      <w:pPr>
        <w:pStyle w:val="null3"/>
      </w:pPr>
      <w:r>
        <w:rPr>
          <w:rFonts w:ascii="仿宋_GB2312" w:hAnsi="仿宋_GB2312" w:cs="仿宋_GB2312" w:eastAsia="仿宋_GB2312"/>
        </w:rPr>
        <w:t>3、供应商资格承诺函：提供《汉中市政府采购供应商资格承诺函》。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勉县公安局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勉县民主街79号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勉县公安局经办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0916-3292828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中拓达建项目管理有限公司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汉中市汉台区海德理想城西门临街商铺二楼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郭凌云</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15771668755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采购包1：1,072,000.00元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开户名称：中拓达建项目管理有限公司汉中分公司</w:t>
            </w:r>
          </w:p>
          <w:p>
            <w:pPr>
              <w:pStyle w:val="null3"/>
            </w:pPr>
            <w:r>
              <w:rPr>
                <w:rFonts w:ascii="仿宋_GB2312" w:hAnsi="仿宋_GB2312" w:cs="仿宋_GB2312" w:eastAsia="仿宋_GB2312"/>
              </w:rPr>
              <w:t>开户银行：中国建设银行股份有限公司汉中北团结街支行</w:t>
            </w:r>
          </w:p>
          <w:p>
            <w:pPr>
              <w:pStyle w:val="null3"/>
            </w:pPr>
            <w:r>
              <w:rPr>
                <w:rFonts w:ascii="仿宋_GB2312" w:hAnsi="仿宋_GB2312" w:cs="仿宋_GB2312" w:eastAsia="仿宋_GB2312"/>
              </w:rPr>
              <w:t>银行账号：61050165910000001072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招标代理服务收费管理暂行办法》和国家发展改革委办公厅（发改办价格【2003】857号）和国家发展改革委（发改价格【2011】534号）文件的相关规定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勉县公安局</w:t>
      </w:r>
      <w:r>
        <w:rPr>
          <w:rFonts w:ascii="仿宋_GB2312" w:hAnsi="仿宋_GB2312" w:cs="仿宋_GB2312" w:eastAsia="仿宋_GB2312"/>
        </w:rPr>
        <w:t>和</w:t>
      </w:r>
      <w:r>
        <w:rPr>
          <w:rFonts w:ascii="仿宋_GB2312" w:hAnsi="仿宋_GB2312" w:cs="仿宋_GB2312" w:eastAsia="仿宋_GB2312"/>
        </w:rPr>
        <w:t>中拓达建项目管理有限公司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勉县公安局</w:t>
      </w:r>
      <w:r>
        <w:rPr>
          <w:rFonts w:ascii="仿宋_GB2312" w:hAnsi="仿宋_GB2312" w:cs="仿宋_GB2312" w:eastAsia="仿宋_GB2312"/>
        </w:rPr>
        <w:t>负责解释。除上述磋商文件内容，其他内容由</w:t>
      </w:r>
      <w:r>
        <w:rPr>
          <w:rFonts w:ascii="仿宋_GB2312" w:hAnsi="仿宋_GB2312" w:cs="仿宋_GB2312" w:eastAsia="仿宋_GB2312"/>
        </w:rPr>
        <w:t>中拓达建项目管理有限公司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中拓达建项目管理有限公司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中拓达建项目管理有限公司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中拓达建项目管理有限公司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中拓达建项目管理有限公司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联系人：郭凌云</w:t>
      </w:r>
    </w:p>
    <w:p>
      <w:pPr>
        <w:pStyle w:val="null3"/>
      </w:pPr>
      <w:r>
        <w:rPr>
          <w:rFonts w:ascii="仿宋_GB2312" w:hAnsi="仿宋_GB2312" w:cs="仿宋_GB2312" w:eastAsia="仿宋_GB2312"/>
        </w:rPr>
        <w:t>联系电话：15771668755</w:t>
      </w:r>
    </w:p>
    <w:p>
      <w:pPr>
        <w:pStyle w:val="null3"/>
      </w:pPr>
      <w:r>
        <w:rPr>
          <w:rFonts w:ascii="仿宋_GB2312" w:hAnsi="仿宋_GB2312" w:cs="仿宋_GB2312" w:eastAsia="仿宋_GB2312"/>
        </w:rPr>
        <w:t>地址：汉中市汉台区海德理想城西门临街商铺二楼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采购内容:勉县公安局2025年中省政法转移支付自定装备（侦查取证设备）项目；需满足的要求:符合勉县公安局2025年中省政法转移支付自定装备（侦查取证设备）项目采购要求。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1,072,000.00</w:t>
      </w:r>
    </w:p>
    <w:p>
      <w:pPr>
        <w:pStyle w:val="null3"/>
      </w:pPr>
      <w:r>
        <w:rPr>
          <w:rFonts w:ascii="仿宋_GB2312" w:hAnsi="仿宋_GB2312" w:cs="仿宋_GB2312" w:eastAsia="仿宋_GB2312"/>
        </w:rPr>
        <w:t>采购包最高限价（元）: 1,072,000.00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勉县公安局2025年中省政法转移支付自定装备（侦查取证设备）项目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1,072,000.00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标的名称：勉县公安局2025年中省政法转移支付自定装备（侦查取证设备）项目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一．智能研判工具</w:t>
            </w:r>
          </w:p>
          <w:p>
            <w:pPr>
              <w:pStyle w:val="null3"/>
              <w:spacing w:after="150"/>
              <w:jc w:val="both"/>
            </w:pPr>
            <w:r>
              <w:rPr>
                <w:rFonts w:ascii="仿宋_GB2312" w:hAnsi="仿宋_GB2312" w:cs="仿宋_GB2312" w:eastAsia="仿宋_GB2312"/>
                <w:sz w:val="24"/>
              </w:rPr>
              <w:t>1.服务通过专用终端+账户+秘钥+加密通道的唯一性绑定进行安全登陆。服务通过本地数据沙箱、日志审计等多种安全措施手段，确保本地数据安全，服务已通过专业渗透安全测试。</w:t>
            </w:r>
          </w:p>
          <w:p>
            <w:pPr>
              <w:pStyle w:val="null3"/>
              <w:spacing w:after="150"/>
              <w:jc w:val="both"/>
            </w:pPr>
            <w:r>
              <w:rPr>
                <w:rFonts w:ascii="仿宋_GB2312" w:hAnsi="仿宋_GB2312" w:cs="仿宋_GB2312" w:eastAsia="仿宋_GB2312"/>
                <w:sz w:val="24"/>
              </w:rPr>
              <w:t>2.支持通过已掌握的目标人员身份线索信息，查询其对应的相关信息，线索分析支持线索类型不低于8类，实现虚实身份精准识别、关联转换和其他深度挖掘分析，支持批量分析。</w:t>
            </w:r>
          </w:p>
          <w:p>
            <w:pPr>
              <w:pStyle w:val="null3"/>
              <w:spacing w:after="150"/>
              <w:jc w:val="both"/>
            </w:pPr>
            <w:r>
              <w:rPr>
                <w:rFonts w:ascii="仿宋_GB2312" w:hAnsi="仿宋_GB2312" w:cs="仿宋_GB2312" w:eastAsia="仿宋_GB2312"/>
                <w:sz w:val="24"/>
              </w:rPr>
              <w:t>3.支持批量重点人信息上传分析，实时显示分析状态，秒级返回分析结果，支持自定义研判报告导出。重点人员全息档案分析最大支持数不低于1000个重点人档，最大订阅量不低于200人档；重点人员档案关联地址上关联行为标签分析时间跨度不低于半年。</w:t>
            </w:r>
          </w:p>
          <w:p>
            <w:pPr>
              <w:pStyle w:val="null3"/>
              <w:spacing w:after="150"/>
              <w:jc w:val="both"/>
            </w:pPr>
            <w:r>
              <w:rPr>
                <w:rFonts w:ascii="仿宋_GB2312" w:hAnsi="仿宋_GB2312" w:cs="仿宋_GB2312" w:eastAsia="仿宋_GB2312"/>
                <w:sz w:val="24"/>
              </w:rPr>
              <w:t>4.支持基于各类时空位置数据，通过地址活跃分析、轨迹分析、跨区域分析和轨迹还原推测分析等方式进行重点人融合落位分析。抽取数据时空属性信息，建立人、事、地、物、组织各要素间的时空关系网络。通过正逆向地址解析分析，建立位置属性标签。支持识别重点人与地址的关联性，掌握重点人活动规律情况，进行多维位置匹配校准，实现目标精准落位。</w:t>
            </w:r>
          </w:p>
          <w:p>
            <w:pPr>
              <w:pStyle w:val="null3"/>
              <w:spacing w:after="150"/>
              <w:jc w:val="both"/>
            </w:pPr>
            <w:r>
              <w:rPr>
                <w:rFonts w:ascii="仿宋_GB2312" w:hAnsi="仿宋_GB2312" w:cs="仿宋_GB2312" w:eastAsia="仿宋_GB2312"/>
                <w:sz w:val="24"/>
              </w:rPr>
              <w:t>5.常态化管控具备对特定群体位置变化动态的感知能力，支持历史态势变化分析及快速目标检索等功能。</w:t>
            </w:r>
          </w:p>
          <w:p>
            <w:pPr>
              <w:pStyle w:val="null3"/>
              <w:spacing w:after="150"/>
              <w:jc w:val="both"/>
            </w:pPr>
            <w:r>
              <w:rPr>
                <w:rFonts w:ascii="仿宋_GB2312" w:hAnsi="仿宋_GB2312" w:cs="仿宋_GB2312" w:eastAsia="仿宋_GB2312"/>
                <w:sz w:val="24"/>
              </w:rPr>
              <w:t>6</w:t>
            </w:r>
            <w:r>
              <w:rPr>
                <w:rFonts w:ascii="仿宋_GB2312" w:hAnsi="仿宋_GB2312" w:cs="仿宋_GB2312" w:eastAsia="仿宋_GB2312"/>
                <w:sz w:val="24"/>
              </w:rPr>
              <w:t>.支持案件管理、协查函管理、标签管理、后台任务管理等功能。支持数据安全加密，数据水印，日志审计等相关功能，防范数据泄密风险。</w:t>
            </w:r>
          </w:p>
          <w:p>
            <w:pPr>
              <w:pStyle w:val="null3"/>
              <w:spacing w:after="150"/>
              <w:jc w:val="both"/>
            </w:pPr>
            <w:r>
              <w:rPr>
                <w:rFonts w:ascii="仿宋_GB2312" w:hAnsi="仿宋_GB2312" w:cs="仿宋_GB2312" w:eastAsia="仿宋_GB2312"/>
                <w:sz w:val="24"/>
                <w:b/>
              </w:rPr>
              <w:t>二．</w:t>
            </w:r>
            <w:r>
              <w:rPr>
                <w:rFonts w:ascii="仿宋_GB2312" w:hAnsi="仿宋_GB2312" w:cs="仿宋_GB2312" w:eastAsia="仿宋_GB2312"/>
                <w:sz w:val="24"/>
                <w:b/>
                <w:shd w:fill="FFFFFF" w:val="clear"/>
              </w:rPr>
              <w:t>大数据辅助分析</w:t>
            </w:r>
            <w:r>
              <w:rPr>
                <w:rFonts w:ascii="仿宋_GB2312" w:hAnsi="仿宋_GB2312" w:cs="仿宋_GB2312" w:eastAsia="仿宋_GB2312"/>
                <w:sz w:val="24"/>
                <w:b/>
                <w:shd w:fill="FFFFFF" w:val="clear"/>
              </w:rPr>
              <w:t>工具</w:t>
            </w:r>
          </w:p>
          <w:p>
            <w:pPr>
              <w:pStyle w:val="null3"/>
              <w:ind w:firstLine="480"/>
              <w:jc w:val="both"/>
            </w:pPr>
            <w:r>
              <w:rPr>
                <w:rFonts w:ascii="仿宋_GB2312" w:hAnsi="仿宋_GB2312" w:cs="仿宋_GB2312" w:eastAsia="仿宋_GB2312"/>
                <w:sz w:val="24"/>
              </w:rPr>
              <w:t>大数据辅助分析工具是一款面向智慧警务场景的数智研判分析</w:t>
            </w:r>
            <w:r>
              <w:rPr>
                <w:rFonts w:ascii="仿宋_GB2312" w:hAnsi="仿宋_GB2312" w:cs="仿宋_GB2312" w:eastAsia="仿宋_GB2312"/>
                <w:sz w:val="24"/>
              </w:rPr>
              <w:t>S产品，运用大数据、机器学习、知识图谱等技术，打通移动设备数据与金融支付数据，实现全息画像、虚实转化、查询研判、智能分析、人群布控等功能，提升线索发现、追踪溯源、资金研判等能力，可广泛运用于反诈、治安、经侦、边防、反恐、政治安全、重大活动安保等众多方向，为公共安全领域管理创新落地提供强有力支撑。核心优势包括：</w:t>
            </w:r>
          </w:p>
          <w:p>
            <w:pPr>
              <w:pStyle w:val="null3"/>
              <w:ind w:firstLine="480"/>
              <w:jc w:val="both"/>
            </w:pPr>
            <w:r>
              <w:rPr>
                <w:rFonts w:ascii="仿宋_GB2312" w:hAnsi="仿宋_GB2312" w:cs="仿宋_GB2312" w:eastAsia="仿宋_GB2312"/>
                <w:sz w:val="24"/>
              </w:rPr>
              <w:t>1、可通过电话号码、IMEI、手机Mac、Wifi、IP、基站、地理位置、APP、涉诈银行卡等相关的线索信息作为查询参数或建模条件，结合全面的实人要素互译能力，进行线索核查拓展、重要关系人梳理、线索情报获取、重点关注人群排摸或布控、犯罪团伙成员及窝点的锁定，快速实现案件研判分析。</w:t>
            </w:r>
          </w:p>
          <w:p>
            <w:pPr>
              <w:pStyle w:val="null3"/>
              <w:ind w:firstLine="480"/>
              <w:jc w:val="both"/>
            </w:pPr>
            <w:r>
              <w:rPr>
                <w:rFonts w:ascii="仿宋_GB2312" w:hAnsi="仿宋_GB2312" w:cs="仿宋_GB2312" w:eastAsia="仿宋_GB2312"/>
                <w:sz w:val="24"/>
              </w:rPr>
              <w:t>2、系统是市面上唯一提供实人要素互译、实现金融支付数据与移动设备数据组合查询、支付数据智能分析的产品，可自助完成资金流向和大额交易分析，实现对异常金融数据的关联穿透和智能识别，极大提升了公安机关工作效率。</w:t>
            </w:r>
          </w:p>
          <w:p>
            <w:pPr>
              <w:pStyle w:val="null3"/>
              <w:ind w:firstLine="480"/>
              <w:jc w:val="both"/>
            </w:pPr>
            <w:r>
              <w:rPr>
                <w:rFonts w:ascii="仿宋_GB2312" w:hAnsi="仿宋_GB2312" w:cs="仿宋_GB2312" w:eastAsia="仿宋_GB2312"/>
                <w:sz w:val="24"/>
              </w:rPr>
              <w:t>3、系统具备实时化的动态数据采集、海量的高价值数据和精细化数据挖掘能力。其中：移动设备数据涵盖亿级规模的安卓和苹果设备，金融支付数据涵盖刷卡消费、扫码消费、线上消费、转账取现等全网场景，相关数据要素具有独特性和全面性。</w:t>
            </w:r>
          </w:p>
          <w:p>
            <w:pPr>
              <w:pStyle w:val="null3"/>
              <w:spacing w:after="150"/>
              <w:jc w:val="both"/>
            </w:pPr>
            <w:r>
              <w:rPr>
                <w:rFonts w:ascii="仿宋_GB2312" w:hAnsi="仿宋_GB2312" w:cs="仿宋_GB2312" w:eastAsia="仿宋_GB2312"/>
                <w:sz w:val="24"/>
                <w:b/>
              </w:rPr>
              <w:t>三</w:t>
            </w:r>
            <w:r>
              <w:rPr>
                <w:rFonts w:ascii="仿宋_GB2312" w:hAnsi="仿宋_GB2312" w:cs="仿宋_GB2312" w:eastAsia="仿宋_GB2312"/>
                <w:sz w:val="24"/>
                <w:b/>
              </w:rPr>
              <w:t>．资金预警工具</w:t>
            </w:r>
          </w:p>
          <w:p>
            <w:pPr>
              <w:pStyle w:val="null3"/>
              <w:ind w:firstLine="420"/>
              <w:jc w:val="both"/>
            </w:pPr>
            <w:r>
              <w:rPr>
                <w:rFonts w:ascii="仿宋_GB2312" w:hAnsi="仿宋_GB2312" w:cs="仿宋_GB2312" w:eastAsia="仿宋_GB2312"/>
                <w:sz w:val="24"/>
              </w:rPr>
              <w:t>自动实现部平台资金侧预警数据的保护性止付；一键对止付卡号、止付人员名下银行卡、第三方账号进行快速止付，实现自动化处理。从数据录入、数据传输、数据入库、自动审批、平台上传，完成止付全流程服务。以第一时间完成止付为目标，保护人民财产免受损失。</w:t>
            </w:r>
          </w:p>
          <w:tbl>
            <w:tblPr>
              <w:tblBorders>
                <w:top w:val="none" w:color="000000" w:sz="4"/>
                <w:left w:val="none" w:color="000000" w:sz="4"/>
                <w:bottom w:val="none" w:color="000000" w:sz="4"/>
                <w:right w:val="none" w:color="000000" w:sz="4"/>
                <w:insideH w:val="none"/>
                <w:insideV w:val="none"/>
              </w:tblBorders>
            </w:tblPr>
            <w:tblGrid>
              <w:gridCol w:w="511"/>
              <w:gridCol w:w="160"/>
              <w:gridCol w:w="231"/>
              <w:gridCol w:w="1140"/>
              <w:gridCol w:w="511"/>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序号</w:t>
                  </w:r>
                </w:p>
              </w:tc>
              <w:tc>
                <w:tcPr>
                  <w:tcW w:type="dxa" w:w="1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主要功能</w:t>
                  </w:r>
                </w:p>
              </w:tc>
              <w:tc>
                <w:tcPr>
                  <w:tcW w:type="dxa" w:w="2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子功能</w:t>
                  </w:r>
                </w:p>
              </w:tc>
              <w:tc>
                <w:tcPr>
                  <w:tcW w:type="dxa" w:w="1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功能详解</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账户数量</w:t>
                  </w:r>
                </w:p>
              </w:tc>
            </w:tr>
            <w:tr>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预警止付</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预警查询止付</w:t>
                  </w:r>
                </w:p>
              </w:tc>
              <w:tc>
                <w:tcPr>
                  <w:tcW w:type="dxa" w:w="1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支持资金预警自动查询、自动止付。可根据权限自动查询资金预警；自定义配置资金预警止付规则；自动分析账号所属银行；按需进行手动止付管控。</w:t>
                  </w:r>
                </w:p>
              </w:tc>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511"/>
                  <w:vMerge/>
                  <w:tcBorders>
                    <w:top w:val="none" w:color="000000" w:sz="4"/>
                    <w:left w:val="single" w:color="000000" w:sz="4"/>
                    <w:bottom w:val="single" w:color="000000" w:sz="4"/>
                    <w:right w:val="single" w:color="000000" w:sz="4"/>
                  </w:tcBorders>
                </w:tcPr>
                <w:p/>
              </w:tc>
              <w:tc>
                <w:tcPr>
                  <w:tcW w:type="dxa" w:w="160"/>
                  <w:vMerge/>
                  <w:tcBorders>
                    <w:top w:val="none" w:color="000000" w:sz="4"/>
                    <w:left w:val="single" w:color="000000" w:sz="4"/>
                    <w:bottom w:val="single" w:color="000000" w:sz="4"/>
                    <w:right w:val="single" w:color="000000" w:sz="4"/>
                  </w:tcBorders>
                </w:tcP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预警止付列表</w:t>
                  </w:r>
                </w:p>
              </w:tc>
              <w:tc>
                <w:tcPr>
                  <w:tcW w:type="dxa" w:w="1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支持预警止付数据的查看，包含受害人银行卡、受害人姓名、受害人号码、转账金额、转出时间、所属行、所属部门、状态等信息。</w:t>
                  </w:r>
                </w:p>
              </w:tc>
              <w:tc>
                <w:tcPr>
                  <w:tcW w:type="dxa" w:w="511"/>
                  <w:vMerge/>
                  <w:tcBorders>
                    <w:top w:val="none" w:color="000000" w:sz="4"/>
                    <w:left w:val="single" w:color="000000" w:sz="4"/>
                    <w:bottom w:val="single" w:color="000000" w:sz="4"/>
                    <w:right w:val="single" w:color="000000" w:sz="4"/>
                  </w:tcBorders>
                </w:tcPr>
                <w:p/>
              </w:tc>
            </w:tr>
            <w:tr>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名下卡止付</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自动名下卡止付</w:t>
                  </w:r>
                </w:p>
              </w:tc>
              <w:tc>
                <w:tcPr>
                  <w:tcW w:type="dxa" w:w="1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根据资金预警信息中的身份证号，自动查询受害人名下卡并进行止付。</w:t>
                  </w:r>
                </w:p>
              </w:tc>
              <w:tc>
                <w:tcPr>
                  <w:tcW w:type="dxa" w:w="511"/>
                  <w:vMerge/>
                  <w:tcBorders>
                    <w:top w:val="none" w:color="000000" w:sz="4"/>
                    <w:left w:val="singl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160"/>
                  <w:vMerge/>
                  <w:tcBorders>
                    <w:top w:val="none" w:color="000000" w:sz="4"/>
                    <w:left w:val="single" w:color="000000" w:sz="4"/>
                    <w:bottom w:val="single" w:color="000000" w:sz="4"/>
                    <w:right w:val="single" w:color="000000" w:sz="4"/>
                  </w:tcBorders>
                </w:tcP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名下卡查询止付</w:t>
                  </w:r>
                </w:p>
              </w:tc>
              <w:tc>
                <w:tcPr>
                  <w:tcW w:type="dxa" w:w="1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支持对受害人名下卡进行手动止付，支持从</w:t>
                  </w:r>
                  <w:r>
                    <w:rPr>
                      <w:rFonts w:ascii="仿宋_GB2312" w:hAnsi="仿宋_GB2312" w:cs="仿宋_GB2312" w:eastAsia="仿宋_GB2312"/>
                      <w:sz w:val="24"/>
                    </w:rPr>
                    <w:t>5000多家银行中选择多个指定银行为推荐模板，并具有一键添加推荐银行的功能；可选择多家银行可在系统中录入止付相关信息。</w:t>
                  </w:r>
                </w:p>
                <w:p>
                  <w:pPr>
                    <w:pStyle w:val="null3"/>
                    <w:jc w:val="both"/>
                  </w:pPr>
                  <w:r>
                    <w:rPr>
                      <w:rFonts w:ascii="仿宋_GB2312" w:hAnsi="仿宋_GB2312" w:cs="仿宋_GB2312" w:eastAsia="仿宋_GB2312"/>
                      <w:sz w:val="24"/>
                    </w:rPr>
                    <w:t>支持发起查询功能，输入姓名、身份证、所属银行、推荐银行、查询理由、是否自动止付、管控次数等内容发起查询。</w:t>
                  </w:r>
                </w:p>
              </w:tc>
              <w:tc>
                <w:tcPr>
                  <w:tcW w:type="dxa" w:w="511"/>
                  <w:vMerge/>
                  <w:tcBorders>
                    <w:top w:val="none" w:color="000000" w:sz="4"/>
                    <w:left w:val="singl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160"/>
                  <w:vMerge/>
                  <w:tcBorders>
                    <w:top w:val="none" w:color="000000" w:sz="4"/>
                    <w:left w:val="single" w:color="000000" w:sz="4"/>
                    <w:bottom w:val="single" w:color="000000" w:sz="4"/>
                    <w:right w:val="single" w:color="000000" w:sz="4"/>
                  </w:tcBorders>
                </w:tcP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名下卡查询列表</w:t>
                  </w:r>
                </w:p>
              </w:tc>
              <w:tc>
                <w:tcPr>
                  <w:tcW w:type="dxa" w:w="1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支持名下卡查询详情查看，包含所属银行、银行卡号、账户姓名、开卡时间、开卡支行、查询时间、销户时间、机构反馈、失败原因等内容。</w:t>
                  </w:r>
                </w:p>
              </w:tc>
              <w:tc>
                <w:tcPr>
                  <w:tcW w:type="dxa" w:w="511"/>
                  <w:vMerge/>
                  <w:tcBorders>
                    <w:top w:val="none" w:color="000000" w:sz="4"/>
                    <w:left w:val="single" w:color="000000" w:sz="4"/>
                    <w:bottom w:val="single" w:color="000000" w:sz="4"/>
                    <w:right w:val="single" w:color="000000" w:sz="4"/>
                  </w:tcBorders>
                </w:tcPr>
                <w:p/>
              </w:tc>
            </w:tr>
            <w:tr>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银行卡止付</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受害人银行卡止付</w:t>
                  </w:r>
                </w:p>
              </w:tc>
              <w:tc>
                <w:tcPr>
                  <w:tcW w:type="dxa" w:w="1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支持对受害人的银行卡进行止付，实现批量止付、连续止付、继续止付、解除止付等功能。</w:t>
                  </w:r>
                </w:p>
              </w:tc>
              <w:tc>
                <w:tcPr>
                  <w:tcW w:type="dxa" w:w="511"/>
                  <w:vMerge/>
                  <w:tcBorders>
                    <w:top w:val="none" w:color="000000" w:sz="4"/>
                    <w:left w:val="singl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160"/>
                  <w:vMerge/>
                  <w:tcBorders>
                    <w:top w:val="none" w:color="000000" w:sz="4"/>
                    <w:left w:val="single" w:color="000000" w:sz="4"/>
                    <w:bottom w:val="single" w:color="000000" w:sz="4"/>
                    <w:right w:val="single" w:color="000000" w:sz="4"/>
                  </w:tcBorders>
                </w:tcP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嫌疑人银行卡止付</w:t>
                  </w:r>
                </w:p>
              </w:tc>
              <w:tc>
                <w:tcPr>
                  <w:tcW w:type="dxa" w:w="1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支持对嫌疑人的银行卡进行止付，实现批量止付、连续止付、继续止付、解除止付等功能。</w:t>
                  </w:r>
                </w:p>
              </w:tc>
              <w:tc>
                <w:tcPr>
                  <w:tcW w:type="dxa" w:w="511"/>
                  <w:vMerge/>
                  <w:tcBorders>
                    <w:top w:val="none" w:color="000000" w:sz="4"/>
                    <w:left w:val="single" w:color="000000" w:sz="4"/>
                    <w:bottom w:val="single" w:color="000000" w:sz="4"/>
                    <w:right w:val="single" w:color="000000" w:sz="4"/>
                  </w:tcBorders>
                </w:tcP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第三方止付</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第三方止付</w:t>
                  </w:r>
                </w:p>
              </w:tc>
              <w:tc>
                <w:tcPr>
                  <w:tcW w:type="dxa" w:w="1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支持第三方账户止付，包含支付宝、财付通等第三方机构。</w:t>
                  </w:r>
                </w:p>
              </w:tc>
              <w:tc>
                <w:tcPr>
                  <w:tcW w:type="dxa" w:w="511"/>
                  <w:vMerge/>
                  <w:tcBorders>
                    <w:top w:val="none" w:color="000000" w:sz="4"/>
                    <w:left w:val="single" w:color="000000" w:sz="4"/>
                    <w:bottom w:val="single" w:color="000000" w:sz="4"/>
                    <w:right w:val="single" w:color="000000" w:sz="4"/>
                  </w:tcBorders>
                </w:tcP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连续止付</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连续止付</w:t>
                  </w:r>
                </w:p>
              </w:tc>
              <w:tc>
                <w:tcPr>
                  <w:tcW w:type="dxa" w:w="1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支持对止付满</w:t>
                  </w:r>
                  <w:r>
                    <w:rPr>
                      <w:rFonts w:ascii="仿宋_GB2312" w:hAnsi="仿宋_GB2312" w:cs="仿宋_GB2312" w:eastAsia="仿宋_GB2312"/>
                      <w:sz w:val="24"/>
                    </w:rPr>
                    <w:t>48小时或止付到期后的银行卡号进行连续止付；支持连续止付最多可到30天。</w:t>
                  </w:r>
                </w:p>
              </w:tc>
              <w:tc>
                <w:tcPr>
                  <w:tcW w:type="dxa" w:w="511"/>
                  <w:vMerge/>
                  <w:tcBorders>
                    <w:top w:val="none" w:color="000000" w:sz="4"/>
                    <w:left w:val="single" w:color="000000" w:sz="4"/>
                    <w:bottom w:val="single" w:color="000000" w:sz="4"/>
                    <w:right w:val="single" w:color="000000" w:sz="4"/>
                  </w:tcBorders>
                </w:tcP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解除止付</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解除止付</w:t>
                  </w:r>
                </w:p>
              </w:tc>
              <w:tc>
                <w:tcPr>
                  <w:tcW w:type="dxa" w:w="1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实现对已止付的账号单个</w:t>
                  </w:r>
                  <w:r>
                    <w:rPr>
                      <w:rFonts w:ascii="仿宋_GB2312" w:hAnsi="仿宋_GB2312" w:cs="仿宋_GB2312" w:eastAsia="仿宋_GB2312"/>
                      <w:sz w:val="24"/>
                    </w:rPr>
                    <w:t>/批量解除止付，满足民警日常工作的需求。可通过身份证号、银行卡号、姓名查询需要解除止付的记录信息。</w:t>
                  </w:r>
                </w:p>
              </w:tc>
              <w:tc>
                <w:tcPr>
                  <w:tcW w:type="dxa" w:w="511"/>
                  <w:vMerge/>
                  <w:tcBorders>
                    <w:top w:val="none" w:color="000000" w:sz="4"/>
                    <w:left w:val="single" w:color="000000" w:sz="4"/>
                    <w:bottom w:val="single" w:color="000000" w:sz="4"/>
                    <w:right w:val="single" w:color="000000" w:sz="4"/>
                  </w:tcBorders>
                </w:tcP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文书维护</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文书维护</w:t>
                  </w:r>
                </w:p>
              </w:tc>
              <w:tc>
                <w:tcPr>
                  <w:tcW w:type="dxa" w:w="1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对于需要上传的涉案账户的紧急支付文书或查询止付人名下银行卡的相关文书，系统会根据填写的信息自动生成并提交。</w:t>
                  </w:r>
                </w:p>
              </w:tc>
              <w:tc>
                <w:tcPr>
                  <w:tcW w:type="dxa" w:w="511"/>
                  <w:vMerge/>
                  <w:tcBorders>
                    <w:top w:val="none" w:color="000000" w:sz="4"/>
                    <w:left w:val="single" w:color="000000" w:sz="4"/>
                    <w:bottom w:val="single" w:color="000000" w:sz="4"/>
                    <w:right w:val="single" w:color="000000" w:sz="4"/>
                  </w:tcBorders>
                </w:tcP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自动审核</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自动审核</w:t>
                  </w:r>
                </w:p>
              </w:tc>
              <w:tc>
                <w:tcPr>
                  <w:tcW w:type="dxa" w:w="1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系统已将原本需要在反诈平台上手动审批的功能转变为自动处理。</w:t>
                  </w:r>
                </w:p>
              </w:tc>
              <w:tc>
                <w:tcPr>
                  <w:tcW w:type="dxa" w:w="511"/>
                  <w:vMerge/>
                  <w:tcBorders>
                    <w:top w:val="none" w:color="000000" w:sz="4"/>
                    <w:left w:val="single" w:color="000000" w:sz="4"/>
                    <w:bottom w:val="single" w:color="000000" w:sz="4"/>
                    <w:right w:val="single" w:color="000000" w:sz="4"/>
                  </w:tcBorders>
                </w:tcP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数据看板</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数据看板</w:t>
                  </w:r>
                </w:p>
              </w:tc>
              <w:tc>
                <w:tcPr>
                  <w:tcW w:type="dxa" w:w="1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统计显示止付相关的数据，包括累计银行卡转出金额、累计第三方转出金额、累计银行卡止付数、最近发起止付数据、各银行累计止付账户数据（</w:t>
                  </w:r>
                  <w:r>
                    <w:rPr>
                      <w:rFonts w:ascii="仿宋_GB2312" w:hAnsi="仿宋_GB2312" w:cs="仿宋_GB2312" w:eastAsia="仿宋_GB2312"/>
                      <w:sz w:val="24"/>
                    </w:rPr>
                    <w:t>TOP10）、各时间段的转出金额等信息。</w:t>
                  </w:r>
                </w:p>
              </w:tc>
              <w:tc>
                <w:tcPr>
                  <w:tcW w:type="dxa" w:w="511"/>
                  <w:vMerge/>
                  <w:tcBorders>
                    <w:top w:val="none" w:color="000000" w:sz="4"/>
                    <w:left w:val="single" w:color="000000" w:sz="4"/>
                    <w:bottom w:val="single" w:color="000000" w:sz="4"/>
                    <w:right w:val="single" w:color="000000" w:sz="4"/>
                  </w:tcBorders>
                </w:tcPr>
                <w:p/>
              </w:tc>
            </w:tr>
          </w:tbl>
          <w:p>
            <w:pPr>
              <w:pStyle w:val="null3"/>
              <w:jc w:val="both"/>
            </w:pP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多元检索查询工具</w:t>
            </w:r>
          </w:p>
          <w:p>
            <w:pPr>
              <w:pStyle w:val="null3"/>
              <w:ind w:firstLine="480"/>
              <w:jc w:val="both"/>
            </w:pPr>
            <w:r>
              <w:rPr>
                <w:rFonts w:ascii="仿宋_GB2312" w:hAnsi="仿宋_GB2312" w:cs="仿宋_GB2312" w:eastAsia="仿宋_GB2312"/>
                <w:sz w:val="24"/>
              </w:rPr>
              <w:t>多元检索查询工具</w:t>
            </w:r>
            <w:r>
              <w:rPr>
                <w:rFonts w:ascii="仿宋_GB2312" w:hAnsi="仿宋_GB2312" w:cs="仿宋_GB2312" w:eastAsia="仿宋_GB2312"/>
                <w:sz w:val="24"/>
              </w:rPr>
              <w:t>需满足可根据身份证号、银行卡号、手机号、车牌号等多样性目标值查寻。数据具备多样性，数据既来源于嫌疑人日常使用设备，也兼顾嫌疑人日常生活消费场景。</w:t>
            </w:r>
          </w:p>
          <w:tbl>
            <w:tblPr>
              <w:tblInd w:type="dxa" w:w="90"/>
              <w:tblBorders>
                <w:top w:val="none" w:color="000000" w:sz="4"/>
                <w:left w:val="none" w:color="000000" w:sz="4"/>
                <w:bottom w:val="none" w:color="000000" w:sz="4"/>
                <w:right w:val="none" w:color="000000" w:sz="4"/>
                <w:insideH w:val="none"/>
                <w:insideV w:val="none"/>
              </w:tblBorders>
            </w:tblPr>
            <w:tblGrid>
              <w:gridCol w:w="588"/>
              <w:gridCol w:w="484"/>
              <w:gridCol w:w="1471"/>
            </w:tblGrid>
            <w:tr>
              <w:tc>
                <w:tcPr>
                  <w:tcW w:type="dxa" w:w="5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服务分类</w:t>
                  </w:r>
                </w:p>
              </w:tc>
              <w:tc>
                <w:tcPr>
                  <w:tcW w:type="dxa" w:w="4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服务模块</w:t>
                  </w:r>
                </w:p>
              </w:tc>
              <w:tc>
                <w:tcPr>
                  <w:tcW w:type="dxa" w:w="14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核心功能描述</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基础信息查询</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1、全息画像</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基于手机号</w:t>
                  </w:r>
                  <w:r>
                    <w:rPr>
                      <w:rFonts w:ascii="仿宋_GB2312" w:hAnsi="仿宋_GB2312" w:cs="仿宋_GB2312" w:eastAsia="仿宋_GB2312"/>
                      <w:sz w:val="24"/>
                      <w:color w:val="000000"/>
                    </w:rPr>
                    <w:t>/身份证/银行卡/设备码/车牌号的多维度批量查询</w:t>
                  </w:r>
                </w:p>
              </w:tc>
            </w:tr>
            <w:tr>
              <w:tc>
                <w:tcPr>
                  <w:tcW w:type="dxa" w:w="5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行为轨迹分析</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2、多元化检索</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通过运营商通道获取设备定位、生活习惯及敏感</w:t>
                  </w:r>
                  <w:r>
                    <w:rPr>
                      <w:rFonts w:ascii="仿宋_GB2312" w:hAnsi="仿宋_GB2312" w:cs="仿宋_GB2312" w:eastAsia="仿宋_GB2312"/>
                      <w:sz w:val="24"/>
                      <w:color w:val="000000"/>
                    </w:rPr>
                    <w:t>APP注册信息</w:t>
                  </w:r>
                </w:p>
              </w:tc>
            </w:tr>
            <w:tr>
              <w:tc>
                <w:tcPr>
                  <w:tcW w:type="dxa" w:w="588"/>
                  <w:vMerge/>
                  <w:tcBorders>
                    <w:top w:val="none" w:color="000000" w:sz="4"/>
                    <w:left w:val="single" w:color="000000" w:sz="4"/>
                    <w:bottom w:val="single" w:color="000000" w:sz="4"/>
                    <w:right w:val="single" w:color="000000" w:sz="4"/>
                  </w:tcBorders>
                </w:tcPr>
                <w:p/>
              </w:tc>
              <w:tc>
                <w:tcPr>
                  <w:tcW w:type="dxa" w:w="4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3、购物行为及寄递查询</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①基于购物数据定位嫌疑人位置及清单</w:t>
                  </w:r>
                </w:p>
              </w:tc>
            </w:tr>
            <w:tr>
              <w:tc>
                <w:tcPr>
                  <w:tcW w:type="dxa" w:w="588"/>
                  <w:vMerge/>
                  <w:tcBorders>
                    <w:top w:val="none" w:color="000000" w:sz="4"/>
                    <w:left w:val="single" w:color="000000" w:sz="4"/>
                    <w:bottom w:val="single" w:color="000000" w:sz="4"/>
                    <w:right w:val="single" w:color="000000" w:sz="4"/>
                  </w:tcBorders>
                </w:tcPr>
                <w:p/>
              </w:tc>
              <w:tc>
                <w:tcPr>
                  <w:tcW w:type="dxa" w:w="484"/>
                  <w:vMerge/>
                  <w:tcBorders>
                    <w:top w:val="none" w:color="000000" w:sz="4"/>
                    <w:left w:val="none" w:color="000000" w:sz="4"/>
                    <w:bottom w:val="single" w:color="000000" w:sz="4"/>
                    <w:right w:val="single" w:color="000000" w:sz="4"/>
                  </w:tcBorders>
                </w:tcP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②通过移动特征码追溯历史寄递记录</w:t>
                  </w:r>
                </w:p>
              </w:tc>
            </w:tr>
            <w:tr>
              <w:tc>
                <w:tcPr>
                  <w:tcW w:type="dxa" w:w="588"/>
                  <w:vMerge/>
                  <w:tcBorders>
                    <w:top w:val="none" w:color="000000" w:sz="4"/>
                    <w:left w:val="single" w:color="000000" w:sz="4"/>
                    <w:bottom w:val="single" w:color="000000" w:sz="4"/>
                    <w:right w:val="single" w:color="000000" w:sz="4"/>
                  </w:tcBorders>
                </w:tcP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4、消费行为分析</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通过任意特征码关联手机号</w:t>
                  </w:r>
                  <w:r>
                    <w:rPr>
                      <w:rFonts w:ascii="仿宋_GB2312" w:hAnsi="仿宋_GB2312" w:cs="仿宋_GB2312" w:eastAsia="仿宋_GB2312"/>
                      <w:sz w:val="24"/>
                      <w:color w:val="000000"/>
                    </w:rPr>
                    <w:t>/银行卡/转账记录，实现身份信息确认及资金链路追踪</w:t>
                  </w:r>
                </w:p>
              </w:tc>
            </w:tr>
            <w:tr>
              <w:tc>
                <w:tcPr>
                  <w:tcW w:type="dxa" w:w="5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车辆查询</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5、停车数据</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检索智能停车场出入记录（含机动车特征码）</w:t>
                  </w:r>
                </w:p>
              </w:tc>
            </w:tr>
            <w:tr>
              <w:tc>
                <w:tcPr>
                  <w:tcW w:type="dxa" w:w="588"/>
                  <w:vMerge/>
                  <w:tcBorders>
                    <w:top w:val="none" w:color="000000" w:sz="4"/>
                    <w:left w:val="single" w:color="000000" w:sz="4"/>
                    <w:bottom w:val="single" w:color="000000" w:sz="4"/>
                    <w:right w:val="single" w:color="000000" w:sz="4"/>
                  </w:tcBorders>
                </w:tcP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6、货车在途监控</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实时获取货车位置及</w:t>
                  </w:r>
                  <w:r>
                    <w:rPr>
                      <w:rFonts w:ascii="仿宋_GB2312" w:hAnsi="仿宋_GB2312" w:cs="仿宋_GB2312" w:eastAsia="仿宋_GB2312"/>
                      <w:sz w:val="24"/>
                      <w:color w:val="000000"/>
                    </w:rPr>
                    <w:t>72小时轨迹</w:t>
                  </w:r>
                </w:p>
              </w:tc>
            </w:tr>
            <w:tr>
              <w:tc>
                <w:tcPr>
                  <w:tcW w:type="dxa" w:w="5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虚拟身份落差</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7、实时检索</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手机四码实时转化</w:t>
                  </w:r>
                  <w:r>
                    <w:rPr>
                      <w:rFonts w:ascii="仿宋_GB2312" w:hAnsi="仿宋_GB2312" w:cs="仿宋_GB2312" w:eastAsia="仿宋_GB2312"/>
                      <w:sz w:val="24"/>
                      <w:color w:val="000000"/>
                    </w:rPr>
                    <w:t>+移动设备轨迹检索</w:t>
                  </w:r>
                </w:p>
              </w:tc>
            </w:tr>
            <w:tr>
              <w:tc>
                <w:tcPr>
                  <w:tcW w:type="dxa" w:w="588"/>
                  <w:vMerge/>
                  <w:tcBorders>
                    <w:top w:val="none" w:color="000000" w:sz="4"/>
                    <w:left w:val="single" w:color="000000" w:sz="4"/>
                    <w:bottom w:val="single" w:color="000000" w:sz="4"/>
                    <w:right w:val="single" w:color="000000" w:sz="4"/>
                  </w:tcBorders>
                </w:tcP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8、IP碰撞</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基于</w:t>
                  </w:r>
                  <w:r>
                    <w:rPr>
                      <w:rFonts w:ascii="仿宋_GB2312" w:hAnsi="仿宋_GB2312" w:cs="仿宋_GB2312" w:eastAsia="仿宋_GB2312"/>
                      <w:sz w:val="24"/>
                      <w:color w:val="000000"/>
                    </w:rPr>
                    <w:t>IP地址的关联碰撞分析</w:t>
                  </w:r>
                </w:p>
              </w:tc>
            </w:tr>
            <w:tr>
              <w:tc>
                <w:tcPr>
                  <w:tcW w:type="dxa" w:w="588"/>
                  <w:vMerge/>
                  <w:tcBorders>
                    <w:top w:val="none" w:color="000000" w:sz="4"/>
                    <w:left w:val="single" w:color="000000" w:sz="4"/>
                    <w:bottom w:val="single" w:color="000000" w:sz="4"/>
                    <w:right w:val="single" w:color="000000" w:sz="4"/>
                  </w:tcBorders>
                </w:tcP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9、境外短视频虚实转化</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境内外社交应用账号与手机号互译</w:t>
                  </w:r>
                </w:p>
              </w:tc>
            </w:tr>
            <w:tr>
              <w:tc>
                <w:tcPr>
                  <w:tcW w:type="dxa" w:w="588"/>
                  <w:vMerge/>
                  <w:tcBorders>
                    <w:top w:val="none" w:color="000000" w:sz="4"/>
                    <w:left w:val="single" w:color="000000" w:sz="4"/>
                    <w:bottom w:val="single" w:color="000000" w:sz="4"/>
                    <w:right w:val="single" w:color="000000" w:sz="4"/>
                  </w:tcBorders>
                </w:tcP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10、境外虚拟身份</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通过关键词</w:t>
                  </w:r>
                  <w:r>
                    <w:rPr>
                      <w:rFonts w:ascii="仿宋_GB2312" w:hAnsi="仿宋_GB2312" w:cs="仿宋_GB2312" w:eastAsia="仿宋_GB2312"/>
                      <w:sz w:val="24"/>
                      <w:color w:val="000000"/>
                    </w:rPr>
                    <w:t>/手机号关联境外媒体账号（邮箱、手机号）</w:t>
                  </w:r>
                </w:p>
              </w:tc>
            </w:tr>
            <w:tr>
              <w:tc>
                <w:tcPr>
                  <w:tcW w:type="dxa" w:w="588"/>
                  <w:vMerge/>
                  <w:tcBorders>
                    <w:top w:val="none" w:color="000000" w:sz="4"/>
                    <w:left w:val="single" w:color="000000" w:sz="4"/>
                    <w:bottom w:val="single" w:color="000000" w:sz="4"/>
                    <w:right w:val="single" w:color="000000" w:sz="4"/>
                  </w:tcBorders>
                </w:tcP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11、设备查询wifi</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通过设备信息查询</w:t>
                  </w:r>
                  <w:r>
                    <w:rPr>
                      <w:rFonts w:ascii="仿宋_GB2312" w:hAnsi="仿宋_GB2312" w:cs="仿宋_GB2312" w:eastAsia="仿宋_GB2312"/>
                      <w:sz w:val="24"/>
                      <w:color w:val="000000"/>
                    </w:rPr>
                    <w:t>wifi地址</w:t>
                  </w:r>
                </w:p>
              </w:tc>
            </w:tr>
            <w:tr>
              <w:tc>
                <w:tcPr>
                  <w:tcW w:type="dxa" w:w="588"/>
                  <w:vMerge/>
                  <w:tcBorders>
                    <w:top w:val="none" w:color="000000" w:sz="4"/>
                    <w:left w:val="single" w:color="000000" w:sz="4"/>
                    <w:bottom w:val="single" w:color="000000" w:sz="4"/>
                    <w:right w:val="single" w:color="000000" w:sz="4"/>
                  </w:tcBorders>
                </w:tcP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12、设备查询apk</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通过设备信息查询</w:t>
                  </w:r>
                  <w:r>
                    <w:rPr>
                      <w:rFonts w:ascii="仿宋_GB2312" w:hAnsi="仿宋_GB2312" w:cs="仿宋_GB2312" w:eastAsia="仿宋_GB2312"/>
                      <w:sz w:val="24"/>
                      <w:color w:val="000000"/>
                    </w:rPr>
                    <w:t>apk地址</w:t>
                  </w:r>
                </w:p>
              </w:tc>
            </w:tr>
            <w:tr>
              <w:tc>
                <w:tcPr>
                  <w:tcW w:type="dxa" w:w="588"/>
                  <w:vMerge/>
                  <w:tcBorders>
                    <w:top w:val="none" w:color="000000" w:sz="4"/>
                    <w:left w:val="single" w:color="000000" w:sz="4"/>
                    <w:bottom w:val="single" w:color="000000" w:sz="4"/>
                    <w:right w:val="single" w:color="000000" w:sz="4"/>
                  </w:tcBorders>
                </w:tcP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13、IPV6查询</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基于终端设备</w:t>
                  </w:r>
                  <w:r>
                    <w:rPr>
                      <w:rFonts w:ascii="仿宋_GB2312" w:hAnsi="仿宋_GB2312" w:cs="仿宋_GB2312" w:eastAsia="仿宋_GB2312"/>
                      <w:sz w:val="24"/>
                      <w:color w:val="000000"/>
                    </w:rPr>
                    <w:t>SDK抓包分析后解析出设备ID，日活5亿终端数量的设备ID；设备ID对应出轨迹、wifi-ssid、路由器的Bssid（即MAC地址）、IPV6信息</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预警监控功能</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14、监控预警</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重点嫌疑人场所出现即时短信预警</w:t>
                  </w:r>
                </w:p>
              </w:tc>
            </w:tr>
            <w:tr>
              <w:tc>
                <w:tcPr>
                  <w:tcW w:type="dxa" w:w="5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系统管理</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15、平台管理</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系统使用监控</w:t>
                  </w:r>
                  <w:r>
                    <w:rPr>
                      <w:rFonts w:ascii="仿宋_GB2312" w:hAnsi="仿宋_GB2312" w:cs="仿宋_GB2312" w:eastAsia="仿宋_GB2312"/>
                      <w:sz w:val="24"/>
                      <w:color w:val="000000"/>
                    </w:rPr>
                    <w:t>+账号权限管理</w:t>
                  </w:r>
                </w:p>
              </w:tc>
            </w:tr>
            <w:tr>
              <w:tc>
                <w:tcPr>
                  <w:tcW w:type="dxa" w:w="588"/>
                  <w:vMerge/>
                  <w:tcBorders>
                    <w:top w:val="none" w:color="000000" w:sz="4"/>
                    <w:left w:val="single" w:color="000000" w:sz="4"/>
                    <w:bottom w:val="single" w:color="000000" w:sz="4"/>
                    <w:right w:val="single" w:color="000000" w:sz="4"/>
                  </w:tcBorders>
                </w:tcP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16、操作日志</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全量操作记录审计追溯</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合同签订之后7个工作日内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自本项目合同签订后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安装调试完成后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项目经验收合格后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由供应商书面提出申请验收，采购人在接到申请7日内，组织验收。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质量保修范围：质量技术标准按国家法律法规规定的合格标准，乙方售后服务响应时间：一旦甲方的交付设备发生故障，乙方售后服务响应时间为每周 7 天每天 24 小时随时报修并解决该故障。</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2、未按合同要求提供货物或货物质量不能满足要求和标准的，采购人有权终止合同，并对供方违约行为进行追究，同时按《政府采购法》的有关规定进行处罚。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本项目详细评审标准： 1、针对性： （1）针对性强：方案能够完全切合本项目实际情况。 （2）具有一定的针对性：方案结构基本完整，能切合本项实际情况，对项目关键环节及服务要求针对性较强。 （3）针对性一般：方案中多数内容能够切合本项目实际情况，但存在至少一处不适用本项目实际的内容。 （4）缺乏针对性：方案描述不符合本项目实际情况，存在明显套用其他项目方案的内容。 2、可实施性： （1）可实施性强：方案工作流程完善，实施步骤清晰，科学合理，可实施性强。 （2）具有 一定的可实施性：方案工作流程基本 完善，能切合本项实际情况，可实施性较强。 （3）可实施性一般：方案中存在至少一处表述模糊、难以执行或不够科学合理的内容。 （4）缺乏可实施性：方案内容空洞，工作流程不完善，实施标准、实施质量不利于采购需求的实现，存在逻辑漏洞、常识错误或合理 性差。 3、方案内容有缺项、漏项、未提供的得0分。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供应商应提供非联合体投标书面声明；</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非联合体书面声明.docx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营业执照或相关证明文件</w:t>
            </w:r>
          </w:p>
        </w:tc>
        <w:tc>
          <w:tcPr>
            <w:tcW w:type="dxa" w:w="3322"/>
          </w:tcPr>
          <w:p>
            <w:pPr>
              <w:pStyle w:val="null3"/>
            </w:pPr>
            <w:r>
              <w:rPr>
                <w:rFonts w:ascii="仿宋_GB2312" w:hAnsi="仿宋_GB2312" w:cs="仿宋_GB2312" w:eastAsia="仿宋_GB2312"/>
              </w:rPr>
              <w:t>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w:t>
            </w:r>
          </w:p>
        </w:tc>
        <w:tc>
          <w:tcPr>
            <w:tcW w:type="dxa" w:w="3322"/>
          </w:tcPr>
          <w:p>
            <w:pPr>
              <w:pStyle w:val="null3"/>
            </w:pPr>
            <w:r>
              <w:rPr>
                <w:rFonts w:ascii="仿宋_GB2312" w:hAnsi="仿宋_GB2312" w:cs="仿宋_GB2312" w:eastAsia="仿宋_GB2312"/>
              </w:rPr>
              <w:t>须出具法定代表人身份证并与营业执照上信息一致。</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应符合竞争性磋商文件中的规定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分项报价明细表.docx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响应文件内容符合竞争性磋商文件要求</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响应文件的签署盖章符合竞争性磋商文件要求</w:t>
            </w:r>
          </w:p>
        </w:tc>
        <w:tc>
          <w:tcPr>
            <w:tcW w:type="dxa" w:w="1661"/>
          </w:tcPr>
          <w:p>
            <w:pPr>
              <w:pStyle w:val="null3"/>
            </w:pPr>
            <w:r>
              <w:rPr>
                <w:rFonts w:ascii="仿宋_GB2312" w:hAnsi="仿宋_GB2312" w:cs="仿宋_GB2312" w:eastAsia="仿宋_GB2312"/>
              </w:rPr>
              <w:t>非联合体书面声明.docx 中小企业声明函 商务应答表 分项报价明细表.docx 报价表 类似项目业绩表.docx 响应文件封面 产品技术参数表 供应商应提交的相关资格证明材料.docx 残疾人福利性单位声明函 供货方案.docx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供应商提供近5年内完成的类似项目业绩，每提供1个得2.5分，最高得5分。 评审依据：以加盖公章的中标通知书或合同协议书复印件为准，未提供不得分。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供应商针对本项目提供项目实施方案，内容包含但不限于：①总体实施方案、②项目前期技术培训方案、③安装与调试方案、④系统部署方案、⑤关键环节及重点难点分析及解决方案等相关内容。二、评审标准 ：（1）方案完整、针对性强、可实施性高，得3分。 （2）方案基本完整、具有一定的针对性、可实施性，得2分。 （3）方案完整性较为全面、针对性、可实施性一般，得1分。 （4）缺乏针对性、可实施性、完整性，得0—0.5分。 （5）未提供的不得分。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工作部署及进度安排</w:t>
            </w:r>
          </w:p>
        </w:tc>
        <w:tc>
          <w:tcPr>
            <w:tcW w:type="dxa" w:w="2492"/>
          </w:tcPr>
          <w:p>
            <w:pPr>
              <w:pStyle w:val="null3"/>
            </w:pPr>
            <w:r>
              <w:rPr>
                <w:rFonts w:ascii="仿宋_GB2312" w:hAnsi="仿宋_GB2312" w:cs="仿宋_GB2312" w:eastAsia="仿宋_GB2312"/>
              </w:rPr>
              <w:t>一、评审内容：供应商对本项目制定工作部署及进度安排，内容包含但不限于：①项目工作计划、②项目进度安排、③项目进度保证措施等相关内容。二、评审标准：（1）方案完整、针对性强、可实施性高，得3分。 （2）方案基本完整、具有一定的针对性、可实施性，得2分。 （3）方案完整性较为全面、针对性、可实施性一般，得1分。 （4）缺乏针对性、可实施性、完整性，得0—0.5分。 （5）未提供的不得分。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售后服务及运维方案</w:t>
            </w:r>
          </w:p>
        </w:tc>
        <w:tc>
          <w:tcPr>
            <w:tcW w:type="dxa" w:w="2492"/>
          </w:tcPr>
          <w:p>
            <w:pPr>
              <w:pStyle w:val="null3"/>
            </w:pPr>
            <w:r>
              <w:rPr>
                <w:rFonts w:ascii="仿宋_GB2312" w:hAnsi="仿宋_GB2312" w:cs="仿宋_GB2312" w:eastAsia="仿宋_GB2312"/>
              </w:rPr>
              <w:t>一、评审内容：供应商针对本项目提供售后服务及运维方案，内容包含但不限于：①售后服务体系、②售后服务措施、③运维服务保障方案等相关内容。 二、评审标准 ：（1）方案完整、针对性强、可实施性高，得3分。 （2）方案基本完整、具有一定的针对性、可实施性，得2分。 （3）方案完整性较为全面、针对性、可实施性一般，得1分。 （4）缺乏针对性、可实施性、完整性，得0—0.5分。 （5）未提供的不得分。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一、评审内容：供应商针对本项目提供应急预案，内容包含但不限于：①突发事件解决措施、②紧急故障处理预案、③应急服务响应时间等相关内容。 二、评审标准：（1）方案完整、针对性强、可实施性高，得3分。 （2）方案基本完整、具有一定的针对性、可实施性，得2分。 （3）方案完整性较为全面、针对性、可实施性一般，得1分。 （4）缺乏针对性、可实施性、完整性，得0—0.5分。 （5）未提供的不得分。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供应商针对本项目提供质量保证措施，内容包含但不限于：①质量保证措施、②安全风险管理措施、③廉洁措施等相关内容。 二、评审标准 ：（1）方案完整、针对性强、可实施性高，得3分。 （2）方案基本完整、具有一定的针对性、可实施性，得2分。 （3）方案完整性较为全面、针对性、可实施性一般，得1分。 （4）缺乏针对性、可实施性、完整性，得0—0.5分。 （5）未提供的不得分。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一、评审内容： 供应商针对本项目提供质量保证措施，内容包含但不限于：①保密管理制度、②数据和信息安全保密措施、③保密承诺等相关内容。二、评审标准 ：（1）方案完整、针对性强、可实施性高，得3分。 （2）方案基本完整、具有一定的针对性、可实施性，得2分。 （3）方案完整性较为全面、针对性、可实施性一般，得1分。 （4）缺乏针对性、可实施性、完整性，得0—0.5分。 （5）未提供的不得分。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拟派项目团队人员</w:t>
            </w:r>
          </w:p>
        </w:tc>
        <w:tc>
          <w:tcPr>
            <w:tcW w:type="dxa" w:w="2492"/>
          </w:tcPr>
          <w:p>
            <w:pPr>
              <w:pStyle w:val="null3"/>
            </w:pPr>
            <w:r>
              <w:rPr>
                <w:rFonts w:ascii="仿宋_GB2312" w:hAnsi="仿宋_GB2312" w:cs="仿宋_GB2312" w:eastAsia="仿宋_GB2312"/>
              </w:rPr>
              <w:t>一、评审内容：针对本项目提供人员配备方案，内容包含但不限于：人员配备情况及岗位职责等相关内容。二、评审标准 ：（1）方案完整、针对性强、可实施性高，得5分。 （2）方案基本完整、具有一定的针对性、可实施性，得3分。 （3）方案完整性较为全面、针对性、可实施性一般，得1分。 （4）缺乏针对性、可实施性、完整性，得0—0.5分。 （5）未提供的不得分。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采用低价优先法计算，即满足竞争性磋商文件要求且最后报价最低的供应商的价格为磋商基准价，其价格分为满分。其他供应商的价格分统一按照下列公式计算：磋商报价得分=（磋商基准价/最终磋商报价）×价格权值（即30%）×100 （因落实政府采购政策进行价格调整的，以调整后的价格计算评标基准价和磋商报价）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详见附件：非联合体书面声明.docx</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详见附件：类似项目业绩表.docx</w:t>
      </w:r>
    </w:p>
    <w:p>
      <w:pPr>
        <w:pStyle w:val="null3"/>
        <w:ind w:firstLine="960"/>
      </w:pPr>
      <w:r>
        <w:rPr>
          <w:rFonts w:ascii="仿宋_GB2312" w:hAnsi="仿宋_GB2312" w:cs="仿宋_GB2312" w:eastAsia="仿宋_GB2312"/>
        </w:rPr>
        <w:t>详见附件：供货方案.docx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