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版本号：HZCZ2025-021号20251127002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公安局2025年第二批中省政法转移支付自定装备（便携式网侦定位设备）项目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HZCZ2025-021号</w:t>
      </w:r>
      <w:r>
        <w:br/>
      </w:r>
      <w:r>
        <w:br/>
      </w:r>
      <w:r>
        <w:br/>
      </w:r>
    </w:p>
    <w:p>
      <w:pPr>
        <w:pStyle w:val="null3"/>
        <w:jc w:val="center"/>
        <w:outlineLvl w:val="2"/>
      </w:pPr>
      <w:r>
        <w:rPr>
          <w:rFonts w:ascii="仿宋_GB2312" w:hAnsi="仿宋_GB2312" w:cs="仿宋_GB2312" w:eastAsia="仿宋_GB2312"/>
          <w:sz w:val="28"/>
          <w:b/>
        </w:rPr>
        <w:t>勉县公安局</w:t>
      </w:r>
    </w:p>
    <w:p>
      <w:pPr>
        <w:pStyle w:val="null3"/>
        <w:jc w:val="center"/>
        <w:outlineLvl w:val="2"/>
      </w:pPr>
      <w:r>
        <w:rPr>
          <w:rFonts w:ascii="仿宋_GB2312" w:hAnsi="仿宋_GB2312" w:cs="仿宋_GB2312" w:eastAsia="仿宋_GB2312"/>
          <w:sz w:val="28"/>
          <w:b/>
        </w:rPr>
        <w:t>汉中弛卓建设项目管理有限公司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汉中弛卓建设项目管理有限公司</w:t>
      </w:r>
      <w:r>
        <w:rPr>
          <w:rFonts w:ascii="仿宋_GB2312" w:hAnsi="仿宋_GB2312" w:cs="仿宋_GB2312" w:eastAsia="仿宋_GB2312"/>
        </w:rPr>
        <w:t>（以下简称“代理机构”）受</w:t>
      </w:r>
      <w:r>
        <w:rPr>
          <w:rFonts w:ascii="仿宋_GB2312" w:hAnsi="仿宋_GB2312" w:cs="仿宋_GB2312" w:eastAsia="仿宋_GB2312"/>
        </w:rPr>
        <w:t>勉县公安局</w:t>
      </w:r>
      <w:r>
        <w:rPr>
          <w:rFonts w:ascii="仿宋_GB2312" w:hAnsi="仿宋_GB2312" w:cs="仿宋_GB2312" w:eastAsia="仿宋_GB2312"/>
        </w:rPr>
        <w:t>委托，拟对</w:t>
      </w:r>
      <w:r>
        <w:rPr>
          <w:rFonts w:ascii="仿宋_GB2312" w:hAnsi="仿宋_GB2312" w:cs="仿宋_GB2312" w:eastAsia="仿宋_GB2312"/>
        </w:rPr>
        <w:t>公安局2025年第二批中省政法转移支付自定装备（便携式网侦定位设备）项目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HZCZ2025-021号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公安局2025年第二批中省政法转移支付自定装备（便携式网侦定位设备）项目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采购内容：勉县公安局2025年第二批中省政法转移支付自定装备(便携式网侦定位设备)项目，需满足的需求：符合勉县公安局2025年第二批中省政法转移支付自定装备(便携式网侦定位设备)项目采购要求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采购包1（勉县公安局2025年第二批中省政法转移支付自定装备(便携式网侦定位设备)项目）：属于专门面向中小企业采购。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合法有效，提供扫描件</w:t>
      </w:r>
    </w:p>
    <w:p>
      <w:pPr>
        <w:pStyle w:val="null3"/>
      </w:pPr>
      <w:r>
        <w:rPr>
          <w:rFonts w:ascii="仿宋_GB2312" w:hAnsi="仿宋_GB2312" w:cs="仿宋_GB2312" w:eastAsia="仿宋_GB2312"/>
        </w:rPr>
        <w:t>2、供应商应授权合法的人员参与磋商，法定代表人直接参加磋商的，须出具法定代表人身份证，并与营业执照上信息一致。法定代表人授权代表参与磋商的，须出具法定代表人授权书和授权代表身份证复印件：供应商应授权合法的人员参与磋商，法定代表人直接参加磋商的，须出具法定代表人身份证，并与营业执照上信息一致。法定代表人授权代表参与磋商的，须出具法定代表人授权书和授权代表身份证复印件，合法有效，磋商文件提供的格式</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合法有效，供应商需在项目电子化交易系统中按要求填写《承诺函》完成承诺</w:t>
      </w:r>
    </w:p>
    <w:p>
      <w:pPr>
        <w:pStyle w:val="null3"/>
      </w:pPr>
      <w:r>
        <w:rPr>
          <w:rFonts w:ascii="仿宋_GB2312" w:hAnsi="仿宋_GB2312" w:cs="仿宋_GB2312" w:eastAsia="仿宋_GB2312"/>
        </w:rPr>
        <w:t>4、本项目不接受联合体响应，不允许分包。供应商提供《非联合体不分包投标声明》：本项目不接受联合体响应，不允许分包。供应商提供《非联合体不分包投标声明》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勉县民主街79号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15509162840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汉中弛卓建设项目管理有限公司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陕西省汉中市汉台区陕西省汉中市汉台区东关街道办事处益州路万仙桥社区党群服务中心3楼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瞿女士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15029668957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勉县公安局</w:t>
      </w:r>
      <w:r>
        <w:rPr>
          <w:rFonts w:ascii="仿宋_GB2312" w:hAnsi="仿宋_GB2312" w:cs="仿宋_GB2312" w:eastAsia="仿宋_GB2312"/>
        </w:rPr>
        <w:t>和</w:t>
      </w:r>
      <w:r>
        <w:rPr>
          <w:rFonts w:ascii="仿宋_GB2312" w:hAnsi="仿宋_GB2312" w:cs="仿宋_GB2312" w:eastAsia="仿宋_GB2312"/>
        </w:rPr>
        <w:t>汉中弛卓建设项目管理有限公司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汉中弛卓建设项目管理有限公司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汉中弛卓建设项目管理有限公司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汉中弛卓建设项目管理有限公司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汉中弛卓建设项目管理有限公司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汉中弛卓建设项目管理有限公司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联系人：瞿女士</w:t>
      </w:r>
    </w:p>
    <w:p>
      <w:pPr>
        <w:pStyle w:val="null3"/>
      </w:pPr>
      <w:r>
        <w:rPr>
          <w:rFonts w:ascii="仿宋_GB2312" w:hAnsi="仿宋_GB2312" w:cs="仿宋_GB2312" w:eastAsia="仿宋_GB2312"/>
        </w:rPr>
        <w:t>联系电话：0916-2529993</w:t>
      </w:r>
    </w:p>
    <w:p>
      <w:pPr>
        <w:pStyle w:val="null3"/>
      </w:pPr>
      <w:r>
        <w:rPr>
          <w:rFonts w:ascii="仿宋_GB2312" w:hAnsi="仿宋_GB2312" w:cs="仿宋_GB2312" w:eastAsia="仿宋_GB2312"/>
        </w:rPr>
        <w:t>地址：汉中市汉台区东关街 道办事处益州路万仙桥社区党群服务中心3楼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采购内容：勉县公安局2025年第二批中省政法转移支付自定装备(便携式网侦定位设备)项目；满足采购需求：满足勉县公安局2025年第二批中省政法转移支付自定装备(便携式网侦定位设备)项目采购要求。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便携式网侦定位设备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标的名称：便携式网侦定位设备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666"/>
              <w:gridCol w:w="2518"/>
            </w:tblGrid>
            <w:tr>
              <w:tc>
                <w:tcPr>
                  <w:tcW w:type="dxa" w:w="318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勉县公安局</w:t>
                  </w:r>
                  <w:r>
                    <w:rPr>
                      <w:rFonts w:ascii="仿宋_GB2312" w:hAnsi="仿宋_GB2312" w:cs="仿宋_GB2312" w:eastAsia="仿宋_GB2312"/>
                      <w:sz w:val="28"/>
                      <w:b/>
                      <w:color w:val="000000"/>
                    </w:rPr>
                    <w:t>2025年第二批中省政法转移支付自定装备(便</w:t>
                  </w:r>
                </w:p>
                <w:p>
                  <w:pPr>
                    <w:pStyle w:val="null3"/>
                    <w:jc w:val="center"/>
                  </w:pPr>
                  <w:r>
                    <w:rPr>
                      <w:rFonts w:ascii="仿宋_GB2312" w:hAnsi="仿宋_GB2312" w:cs="仿宋_GB2312" w:eastAsia="仿宋_GB2312"/>
                      <w:sz w:val="28"/>
                      <w:b/>
                      <w:color w:val="000000"/>
                    </w:rPr>
                    <w:t>携式网侦定位设备</w:t>
                  </w:r>
                  <w:r>
                    <w:rPr>
                      <w:rFonts w:ascii="仿宋_GB2312" w:hAnsi="仿宋_GB2312" w:cs="仿宋_GB2312" w:eastAsia="仿宋_GB2312"/>
                      <w:sz w:val="28"/>
                      <w:b/>
                      <w:color w:val="000000"/>
                    </w:rPr>
                    <w:t>)项目采购内容及参数</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指标项</w:t>
                  </w:r>
                </w:p>
              </w:tc>
              <w:tc>
                <w:tcPr>
                  <w:tcW w:type="dxa" w:w="2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参数要求</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工作制式</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4G-LTE ，5G NR（SA+NSA）制式</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 xml:space="preserve">4G：B1、B3、B5、B8、B34、B38、B39、B40、B41；         </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支持频段</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5G：n1、n3、n5、n8、n28、n41、n77、n78、n79；</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黑匣子</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设备支持内置硬件黑匣子，操作使用情况实时记录</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捕获方式</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诱导方式捕获</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驻波比</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★载波通道</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8载波（4+5G：TDD+FDD、NR）</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守控</w:t>
                  </w:r>
                  <w:r>
                    <w:rPr>
                      <w:rFonts w:ascii="仿宋_GB2312" w:hAnsi="仿宋_GB2312" w:cs="仿宋_GB2312" w:eastAsia="仿宋_GB2312"/>
                      <w:sz w:val="22"/>
                      <w:color w:val="000000"/>
                    </w:rPr>
                    <w:t>小区</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数量</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8个及以上；</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灵敏度</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接入灵密度</w:t>
                  </w:r>
                  <w:r>
                    <w:rPr>
                      <w:rFonts w:ascii="仿宋_GB2312" w:hAnsi="仿宋_GB2312" w:cs="仿宋_GB2312" w:eastAsia="仿宋_GB2312"/>
                      <w:sz w:val="22"/>
                      <w:color w:val="000000"/>
                    </w:rPr>
                    <w:t>≥-105dBm</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内置测向</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内置测向天线，</w:t>
                  </w:r>
                  <w:r>
                    <w:rPr>
                      <w:rFonts w:ascii="仿宋_GB2312" w:hAnsi="仿宋_GB2312" w:cs="仿宋_GB2312" w:eastAsia="仿宋_GB2312"/>
                      <w:sz w:val="22"/>
                      <w:color w:val="000000"/>
                    </w:rPr>
                    <w:t>698MHz~5000MHz，增益：8dBm；发射功率每载波0w-2w可调功率</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吸附范围</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150m-300m（非任意环境）</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吸附方式</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同频吸附、异频吸附</w:t>
                  </w:r>
                  <w:r>
                    <w:rPr>
                      <w:rFonts w:ascii="仿宋_GB2312" w:hAnsi="仿宋_GB2312" w:cs="仿宋_GB2312" w:eastAsia="仿宋_GB2312"/>
                      <w:sz w:val="22"/>
                      <w:color w:val="000000"/>
                    </w:rPr>
                    <w:t>至少支持上述</w:t>
                  </w:r>
                  <w:r>
                    <w:rPr>
                      <w:rFonts w:ascii="仿宋_GB2312" w:hAnsi="仿宋_GB2312" w:cs="仿宋_GB2312" w:eastAsia="仿宋_GB2312"/>
                      <w:sz w:val="22"/>
                      <w:color w:val="000000"/>
                    </w:rPr>
                    <w:t>2种吸附方式</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用户承载量</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每载波</w:t>
                  </w:r>
                  <w:r>
                    <w:rPr>
                      <w:rFonts w:ascii="仿宋_GB2312" w:hAnsi="仿宋_GB2312" w:cs="仿宋_GB2312" w:eastAsia="仿宋_GB2312"/>
                      <w:sz w:val="22"/>
                      <w:color w:val="000000"/>
                    </w:rPr>
                    <w:t>≥2000个</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采集率</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每分钟采集量</w:t>
                  </w:r>
                  <w:r>
                    <w:rPr>
                      <w:rFonts w:ascii="仿宋_GB2312" w:hAnsi="仿宋_GB2312" w:cs="仿宋_GB2312" w:eastAsia="仿宋_GB2312"/>
                      <w:sz w:val="22"/>
                      <w:color w:val="000000"/>
                    </w:rPr>
                    <w:t>≥1000个</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定位标识</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IMSI码、TMSI码至少满足上述定位标识2种</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中标率</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≥98%</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非目标释放时间</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≤1秒</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定位精度</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▲指向精度</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天线一体化设计，内置定向天线，指向精度</w:t>
                  </w:r>
                  <w:r>
                    <w:rPr>
                      <w:rFonts w:ascii="仿宋_GB2312" w:hAnsi="仿宋_GB2312" w:cs="仿宋_GB2312" w:eastAsia="仿宋_GB2312"/>
                      <w:sz w:val="22"/>
                      <w:color w:val="000000"/>
                    </w:rPr>
                    <w:t>≤15º</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定位测向</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至少满足</w:t>
                  </w:r>
                  <w:r>
                    <w:rPr>
                      <w:rFonts w:ascii="仿宋_GB2312" w:hAnsi="仿宋_GB2312" w:cs="仿宋_GB2312" w:eastAsia="仿宋_GB2312"/>
                      <w:sz w:val="22"/>
                      <w:color w:val="000000"/>
                    </w:rPr>
                    <w:t>3个及以上的目标号码侦查定位</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黑名单</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至少满足</w:t>
                  </w:r>
                  <w:r>
                    <w:rPr>
                      <w:rFonts w:ascii="仿宋_GB2312" w:hAnsi="仿宋_GB2312" w:cs="仿宋_GB2312" w:eastAsia="仿宋_GB2312"/>
                      <w:sz w:val="22"/>
                      <w:color w:val="000000"/>
                    </w:rPr>
                    <w:t>3个及以上黑名单号码同时定位</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白名单</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至少支持</w:t>
                  </w:r>
                  <w:r>
                    <w:rPr>
                      <w:rFonts w:ascii="仿宋_GB2312" w:hAnsi="仿宋_GB2312" w:cs="仿宋_GB2312" w:eastAsia="仿宋_GB2312"/>
                      <w:sz w:val="22"/>
                      <w:color w:val="000000"/>
                    </w:rPr>
                    <w:t>10个及以上白名单号码管理，支持批量导入、对白名单用户号码网络无干扰</w:t>
                  </w:r>
                </w:p>
              </w:tc>
            </w:tr>
            <w:tr>
              <w:tc>
                <w:tcPr>
                  <w:tcW w:type="dxa" w:w="6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★功能要求</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1.支持不关停功放情况下，毫秒级修改单路或多路小区PCI；</w:t>
                  </w:r>
                </w:p>
              </w:tc>
            </w:tr>
            <w:tr>
              <w:tc>
                <w:tcPr>
                  <w:tcW w:type="dxa" w:w="666"/>
                  <w:vMerge/>
                  <w:tcBorders>
                    <w:top w:val="none" w:color="000000" w:sz="4"/>
                    <w:left w:val="single" w:color="000000" w:sz="4"/>
                    <w:bottom w:val="single" w:color="000000" w:sz="4"/>
                    <w:right w:val="single" w:color="000000" w:sz="4"/>
                  </w:tcBorders>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2.支持公网自动扫频，自动配置频点；</w:t>
                  </w:r>
                </w:p>
              </w:tc>
            </w:tr>
            <w:tr>
              <w:tc>
                <w:tcPr>
                  <w:tcW w:type="dxa" w:w="666"/>
                  <w:vMerge/>
                  <w:tcBorders>
                    <w:top w:val="none" w:color="000000" w:sz="4"/>
                    <w:left w:val="single" w:color="000000" w:sz="4"/>
                    <w:bottom w:val="single" w:color="000000" w:sz="4"/>
                    <w:right w:val="single" w:color="000000" w:sz="4"/>
                  </w:tcBorders>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3.支持公网自动频偏同步。</w:t>
                  </w:r>
                </w:p>
              </w:tc>
            </w:tr>
            <w:tr>
              <w:tc>
                <w:tcPr>
                  <w:tcW w:type="dxa" w:w="666"/>
                  <w:vMerge/>
                  <w:tcBorders>
                    <w:top w:val="none" w:color="000000" w:sz="4"/>
                    <w:left w:val="single" w:color="000000" w:sz="4"/>
                    <w:bottom w:val="single" w:color="000000" w:sz="4"/>
                    <w:right w:val="single" w:color="000000" w:sz="4"/>
                  </w:tcBorders>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至少满足上述</w:t>
                  </w:r>
                  <w:r>
                    <w:rPr>
                      <w:rFonts w:ascii="仿宋_GB2312" w:hAnsi="仿宋_GB2312" w:cs="仿宋_GB2312" w:eastAsia="仿宋_GB2312"/>
                      <w:sz w:val="22"/>
                      <w:color w:val="000000"/>
                    </w:rPr>
                    <w:t>3种及以上功能</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同步方式</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至少满足北斗同步、空口同步</w:t>
                  </w:r>
                  <w:r>
                    <w:rPr>
                      <w:rFonts w:ascii="仿宋_GB2312" w:hAnsi="仿宋_GB2312" w:cs="仿宋_GB2312" w:eastAsia="仿宋_GB2312"/>
                      <w:sz w:val="22"/>
                      <w:color w:val="000000"/>
                    </w:rPr>
                    <w:t>2种及以上的同步模式</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报数频率</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1秒/次；</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★混网定位</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支持移动、联通、电信、广电等目标混网侦查定位测向至少满足上述</w:t>
                  </w:r>
                  <w:r>
                    <w:rPr>
                      <w:rFonts w:ascii="仿宋_GB2312" w:hAnsi="仿宋_GB2312" w:cs="仿宋_GB2312" w:eastAsia="仿宋_GB2312"/>
                      <w:sz w:val="22"/>
                      <w:color w:val="000000"/>
                    </w:rPr>
                    <w:t>4种网络制式定位测向</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操作</w:t>
                  </w:r>
                  <w:r>
                    <w:rPr>
                      <w:rFonts w:ascii="仿宋_GB2312" w:hAnsi="仿宋_GB2312" w:cs="仿宋_GB2312" w:eastAsia="仿宋_GB2312"/>
                      <w:sz w:val="22"/>
                      <w:color w:val="000000"/>
                    </w:rPr>
                    <w:t>APP</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支持任意款安卓</w:t>
                  </w:r>
                  <w:r>
                    <w:rPr>
                      <w:rFonts w:ascii="仿宋_GB2312" w:hAnsi="仿宋_GB2312" w:cs="仿宋_GB2312" w:eastAsia="仿宋_GB2312"/>
                      <w:sz w:val="22"/>
                      <w:color w:val="000000"/>
                    </w:rPr>
                    <w:t>12.0以上或鸿蒙系统智能手机，至少满足上述任意款中2款及以上智能手机安装</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整机功耗</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≤120W（根据开启功放数量而定）；</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工作温度</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环境温度</w:t>
                  </w:r>
                  <w:r>
                    <w:rPr>
                      <w:rFonts w:ascii="仿宋_GB2312" w:hAnsi="仿宋_GB2312" w:cs="仿宋_GB2312" w:eastAsia="仿宋_GB2312"/>
                      <w:sz w:val="22"/>
                      <w:color w:val="000000"/>
                    </w:rPr>
                    <w:t>-40℃～90℃</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工作湿度</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环境湿度</w:t>
                  </w:r>
                  <w:r>
                    <w:rPr>
                      <w:rFonts w:ascii="仿宋_GB2312" w:hAnsi="仿宋_GB2312" w:cs="仿宋_GB2312" w:eastAsia="仿宋_GB2312"/>
                      <w:sz w:val="22"/>
                      <w:color w:val="000000"/>
                    </w:rPr>
                    <w:t>0%～95%±3%（25℃）</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310*250*100mm；</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重量</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≤4.8KG</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便携主机</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一体化主动便携主机支持</w:t>
                  </w:r>
                  <w:r>
                    <w:rPr>
                      <w:rFonts w:ascii="仿宋_GB2312" w:hAnsi="仿宋_GB2312" w:cs="仿宋_GB2312" w:eastAsia="仿宋_GB2312"/>
                      <w:sz w:val="22"/>
                      <w:color w:val="000000"/>
                    </w:rPr>
                    <w:t>4G和5G两种制式；</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电池</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28V-6AH电源，续航时间≥3小时；电池可拆卸，标配2块电池</w:t>
                  </w:r>
                </w:p>
              </w:tc>
            </w:tr>
            <w:tr>
              <w:tc>
                <w:tcPr>
                  <w:tcW w:type="dxa" w:w="6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★功能要求</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1.支持多频点组合信息采集、参数智能自配置；</w:t>
                  </w:r>
                </w:p>
              </w:tc>
            </w:tr>
            <w:tr>
              <w:tc>
                <w:tcPr>
                  <w:tcW w:type="dxa" w:w="666"/>
                  <w:vMerge/>
                  <w:tcBorders>
                    <w:top w:val="none" w:color="000000" w:sz="4"/>
                    <w:left w:val="single" w:color="000000" w:sz="4"/>
                    <w:bottom w:val="single" w:color="000000" w:sz="4"/>
                    <w:right w:val="single" w:color="000000" w:sz="4"/>
                  </w:tcBorders>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2.支持移动、联通、电信、广电目标单网或混网侦查定位；</w:t>
                  </w:r>
                </w:p>
              </w:tc>
            </w:tr>
            <w:tr>
              <w:tc>
                <w:tcPr>
                  <w:tcW w:type="dxa" w:w="666"/>
                  <w:vMerge/>
                  <w:tcBorders>
                    <w:top w:val="none" w:color="000000" w:sz="4"/>
                    <w:left w:val="single" w:color="000000" w:sz="4"/>
                    <w:bottom w:val="single" w:color="000000" w:sz="4"/>
                    <w:right w:val="single" w:color="000000" w:sz="4"/>
                  </w:tcBorders>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3.支持移动、联通、电信、广电混网多目标侦码采集；</w:t>
                  </w:r>
                </w:p>
              </w:tc>
            </w:tr>
            <w:tr>
              <w:tc>
                <w:tcPr>
                  <w:tcW w:type="dxa" w:w="666"/>
                  <w:vMerge/>
                  <w:tcBorders>
                    <w:top w:val="none" w:color="000000" w:sz="4"/>
                    <w:left w:val="single" w:color="000000" w:sz="4"/>
                    <w:bottom w:val="single" w:color="000000" w:sz="4"/>
                    <w:right w:val="single" w:color="000000" w:sz="4"/>
                  </w:tcBorders>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4.支持区域内无线网络信号管控制功能；</w:t>
                  </w:r>
                </w:p>
              </w:tc>
            </w:tr>
            <w:tr>
              <w:tc>
                <w:tcPr>
                  <w:tcW w:type="dxa" w:w="666"/>
                  <w:vMerge/>
                  <w:tcBorders>
                    <w:top w:val="none" w:color="000000" w:sz="4"/>
                    <w:left w:val="single" w:color="000000" w:sz="4"/>
                    <w:bottom w:val="single" w:color="000000" w:sz="4"/>
                    <w:right w:val="single" w:color="000000" w:sz="4"/>
                  </w:tcBorders>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5.支持载波聚合技术，VoLTE、VoNR技术等运营商演进技术；</w:t>
                  </w:r>
                </w:p>
              </w:tc>
            </w:tr>
            <w:tr>
              <w:tc>
                <w:tcPr>
                  <w:tcW w:type="dxa" w:w="666"/>
                  <w:vMerge/>
                  <w:tcBorders>
                    <w:top w:val="none" w:color="000000" w:sz="4"/>
                    <w:left w:val="single" w:color="000000" w:sz="4"/>
                    <w:bottom w:val="single" w:color="000000" w:sz="4"/>
                    <w:right w:val="single" w:color="000000" w:sz="4"/>
                  </w:tcBorders>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6.支持黑名单、白名单导入导出，每组名单数量不低于30000个；</w:t>
                  </w:r>
                </w:p>
              </w:tc>
            </w:tr>
            <w:tr>
              <w:tc>
                <w:tcPr>
                  <w:tcW w:type="dxa" w:w="666"/>
                  <w:vMerge/>
                  <w:tcBorders>
                    <w:top w:val="none" w:color="000000" w:sz="4"/>
                    <w:left w:val="single" w:color="000000" w:sz="4"/>
                    <w:bottom w:val="single" w:color="000000" w:sz="4"/>
                    <w:right w:val="single" w:color="000000" w:sz="4"/>
                  </w:tcBorders>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7.支持境外IMSI告警和一键定位功能。</w:t>
                  </w:r>
                </w:p>
              </w:tc>
            </w:tr>
            <w:tr>
              <w:tc>
                <w:tcPr>
                  <w:tcW w:type="dxa" w:w="666"/>
                  <w:vMerge/>
                  <w:tcBorders>
                    <w:top w:val="none" w:color="000000" w:sz="4"/>
                    <w:left w:val="single" w:color="000000" w:sz="4"/>
                    <w:bottom w:val="single" w:color="000000" w:sz="4"/>
                    <w:right w:val="single" w:color="000000" w:sz="4"/>
                  </w:tcBorders>
                </w:tcP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至少满足上述</w:t>
                  </w:r>
                  <w:r>
                    <w:rPr>
                      <w:rFonts w:ascii="仿宋_GB2312" w:hAnsi="仿宋_GB2312" w:cs="仿宋_GB2312" w:eastAsia="仿宋_GB2312"/>
                      <w:sz w:val="22"/>
                      <w:color w:val="000000"/>
                    </w:rPr>
                    <w:t>7种及以上功能。</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▲设备功率</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满足可调</w:t>
                  </w:r>
                  <w:r>
                    <w:rPr>
                      <w:rFonts w:ascii="仿宋_GB2312" w:hAnsi="仿宋_GB2312" w:cs="仿宋_GB2312" w:eastAsia="仿宋_GB2312"/>
                      <w:sz w:val="22"/>
                      <w:color w:val="000000"/>
                    </w:rPr>
                    <w:t>0-2瓦</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周期性采集</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可配置</w:t>
                  </w:r>
                  <w:r>
                    <w:rPr>
                      <w:rFonts w:ascii="仿宋_GB2312" w:hAnsi="仿宋_GB2312" w:cs="仿宋_GB2312" w:eastAsia="仿宋_GB2312"/>
                      <w:sz w:val="22"/>
                      <w:color w:val="000000"/>
                    </w:rPr>
                    <w:t>采集周期</w:t>
                  </w:r>
                  <w:r>
                    <w:rPr>
                      <w:rFonts w:ascii="仿宋_GB2312" w:hAnsi="仿宋_GB2312" w:cs="仿宋_GB2312" w:eastAsia="仿宋_GB2312"/>
                      <w:sz w:val="22"/>
                      <w:color w:val="000000"/>
                    </w:rPr>
                    <w:t>≤10分钟</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分析功能</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碰撞分析，统计分析，数据查询分析至少满足</w:t>
                  </w:r>
                  <w:r>
                    <w:rPr>
                      <w:rFonts w:ascii="仿宋_GB2312" w:hAnsi="仿宋_GB2312" w:cs="仿宋_GB2312" w:eastAsia="仿宋_GB2312"/>
                      <w:sz w:val="22"/>
                      <w:color w:val="000000"/>
                    </w:rPr>
                    <w:t>3种及以上</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伪装形态</w:t>
                  </w:r>
                </w:p>
              </w:tc>
              <w:tc>
                <w:tcPr>
                  <w:tcW w:type="dxa" w:w="2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满足不同实战场景</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伪装包形态</w:t>
                  </w:r>
                  <w:r>
                    <w:rPr>
                      <w:rFonts w:ascii="仿宋_GB2312" w:hAnsi="仿宋_GB2312" w:cs="仿宋_GB2312" w:eastAsia="仿宋_GB2312"/>
                      <w:sz w:val="22"/>
                      <w:color w:val="000000"/>
                    </w:rPr>
                    <w:t>≥1种</w:t>
                  </w:r>
                </w:p>
              </w:tc>
            </w:tr>
            <w:tr>
              <w:tc>
                <w:tcPr>
                  <w:tcW w:type="dxa" w:w="31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指标按重要性分为</w:t>
                  </w:r>
                  <w:r>
                    <w:rPr>
                      <w:rFonts w:ascii="仿宋_GB2312" w:hAnsi="仿宋_GB2312" w:cs="仿宋_GB2312" w:eastAsia="仿宋_GB2312"/>
                      <w:sz w:val="22"/>
                      <w:color w:val="000000"/>
                    </w:rPr>
                    <w:t>“★”、“▲”和一般无标示指标。“★”代表关键性指标，“▲”代表重要指标，不允许出现负偏离，无标识则表示一般指标项，若未响应或者负偏离，将在综合评审中予以扣分处理。</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合同签订之后7个工作日内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由供应商书面提出申请验收，采购人接到申请7日内，组织验收。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质量保修范围：质量技术标准按国家法律法规规定的合格标准；乙方售后服务响应时间：一旦甲方的交付设备发生故障，乙方售后服务响应时间为每周7天，每天24小时随时保修并解决该故障。</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2.未按合同要求提供货物或货物质量不能满足采购要求和标准的，采购人有权终止合同，并对供货方违约行为进行追究，同时按《政府采购法》的有关规定进行处罚。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供应商认为应该提交的其他资料.docx 供应商应提交的相关资格证材料.pdf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具有独立承担民事责任能力的法人、其他组织或自然人，并出具合法有效的营业执照或事业单位法人证书等国家规定的相关证明，自然人参与的提供其身份证明；合法有效，提供扫描件</w:t>
            </w:r>
          </w:p>
        </w:tc>
        <w:tc>
          <w:tcPr>
            <w:tcW w:type="dxa" w:w="1661"/>
          </w:tcPr>
          <w:p>
            <w:pPr>
              <w:pStyle w:val="null3"/>
            </w:pPr>
            <w:r>
              <w:rPr>
                <w:rFonts w:ascii="仿宋_GB2312" w:hAnsi="仿宋_GB2312" w:cs="仿宋_GB2312" w:eastAsia="仿宋_GB2312"/>
              </w:rPr>
              <w:t>供应商应提交的相关资格证材料.pdf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供应商应授权合法的人员参与磋商，法定代表人直接参加磋商的，须出具法定代表人身份证，并与营业执照上信息一致。法定代表人授权代表参与磋商的，须出具法定代表人授权书和授权代表身份证复印件</w:t>
            </w:r>
          </w:p>
        </w:tc>
        <w:tc>
          <w:tcPr>
            <w:tcW w:type="dxa" w:w="3322"/>
          </w:tcPr>
          <w:p>
            <w:pPr>
              <w:pStyle w:val="null3"/>
            </w:pPr>
            <w:r>
              <w:rPr>
                <w:rFonts w:ascii="仿宋_GB2312" w:hAnsi="仿宋_GB2312" w:cs="仿宋_GB2312" w:eastAsia="仿宋_GB2312"/>
              </w:rPr>
              <w:t>供应商应授权合法的人员参与磋商，法定代表人直接参加磋商的，须出具法定代表人身份证，并与营业执照上信息一致。法定代表人授权代表参与磋商的，须出具法定代表人授权书和授权代表身份证复印件，合法有效，磋商文件提供的格式</w:t>
            </w:r>
          </w:p>
        </w:tc>
        <w:tc>
          <w:tcPr>
            <w:tcW w:type="dxa" w:w="1661"/>
          </w:tcPr>
          <w:p>
            <w:pPr>
              <w:pStyle w:val="null3"/>
            </w:pPr>
            <w:r>
              <w:rPr>
                <w:rFonts w:ascii="仿宋_GB2312" w:hAnsi="仿宋_GB2312" w:cs="仿宋_GB2312" w:eastAsia="仿宋_GB2312"/>
              </w:rPr>
              <w:t>供应商应提交的相关资格证材料.pdf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仅需提供《汉中市政府采购供应商资格承诺函》，合法有效，供应商需在项目电子化交易系统中按要求填写《承诺函》完成承诺</w:t>
            </w:r>
          </w:p>
        </w:tc>
        <w:tc>
          <w:tcPr>
            <w:tcW w:type="dxa" w:w="1661"/>
          </w:tcPr>
          <w:p>
            <w:pPr>
              <w:pStyle w:val="null3"/>
            </w:pPr>
            <w:r>
              <w:rPr>
                <w:rFonts w:ascii="仿宋_GB2312" w:hAnsi="仿宋_GB2312" w:cs="仿宋_GB2312" w:eastAsia="仿宋_GB2312"/>
              </w:rPr>
              <w:t>供应商应提交的相关资格证材料.pdf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本项目不接受联合体响应，不允许分包。供应商提供《非联合体不分包投标声明》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w:t>
            </w:r>
          </w:p>
        </w:tc>
        <w:tc>
          <w:tcPr>
            <w:tcW w:type="dxa" w:w="1661"/>
          </w:tcPr>
          <w:p>
            <w:pPr>
              <w:pStyle w:val="null3"/>
            </w:pPr>
            <w:r>
              <w:rPr>
                <w:rFonts w:ascii="仿宋_GB2312" w:hAnsi="仿宋_GB2312" w:cs="仿宋_GB2312" w:eastAsia="仿宋_GB2312"/>
              </w:rPr>
              <w:t>供应商应提交的相关资格证材料.pdf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分项报价明细表.docx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响应文件内容符合竞争性磋商文件要求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供应商认为应该提交的其他资料.docx 中小企业声明函 商务应答表 分项报价明细表.docx 报价表 非联合体不分包投标声明.docx 响应文件封面 产品技术参数表 残疾人福利性单位声明函 供货方案.docx 供应商应提交的相关资格证材料.pdf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针对本项目有具体实施方案，包含但不限于：备货、供货进度及保证措施；项目验收方案。 ①内容详细全面、层次清楚、完善可行的计10分； ②实施方案内容包含全面，但未针对各项内容进行详细描述的计7分； ③针对以上方案要求，有1项欠缺或无欠缺仅有粗略框架，无具体针对性内容的计5分； ④有2项缺项的计2分； ⑤有3项及以上重大缺项的，计1分；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供应商认为应该提交的其他资料.docx</w:t>
            </w:r>
          </w:p>
        </w:tc>
      </w:tr>
      <w:tr>
        <w:tc>
          <w:tcPr>
            <w:tcW w:type="dxa" w:w="831"/>
            <w:vMerge/>
          </w:tcPr>
          <w:p/>
        </w:tc>
        <w:tc>
          <w:tcPr>
            <w:tcW w:type="dxa" w:w="1661"/>
          </w:tcPr>
          <w:p>
            <w:pPr>
              <w:pStyle w:val="null3"/>
            </w:pPr>
            <w:r>
              <w:rPr>
                <w:rFonts w:ascii="仿宋_GB2312" w:hAnsi="仿宋_GB2312" w:cs="仿宋_GB2312" w:eastAsia="仿宋_GB2312"/>
              </w:rPr>
              <w:t>安全、保密管理方案</w:t>
            </w:r>
          </w:p>
        </w:tc>
        <w:tc>
          <w:tcPr>
            <w:tcW w:type="dxa" w:w="2492"/>
          </w:tcPr>
          <w:p>
            <w:pPr>
              <w:pStyle w:val="null3"/>
            </w:pPr>
            <w:r>
              <w:rPr>
                <w:rFonts w:ascii="仿宋_GB2312" w:hAnsi="仿宋_GB2312" w:cs="仿宋_GB2312" w:eastAsia="仿宋_GB2312"/>
              </w:rPr>
              <w:t>包含但不限于：①根据本项目的特点和要求，制定安全、保密管理，至少包括信息安全保密原则和内容、安全保密体系构建、安全保密管理方法、安全保密管理措施、安全保密管理手段 完全满足且有针对性，得8分； ②安全管理方案部分满足要求，针对性不强得5分；③安全管理方案不满足要求为差得2 分。④未提供相关内容不计分。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包含但不限于：质量管理制度；产品设计、生产、检验等质量管控能力；产品使用寿命及效果；质量保证期限及质量保证范围；质量保证承诺及措施。 ①内容详细全面、完整、完善可行的计8分； ②内容包含全面，但未针对各项内容进行详细描述的计5分；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包含但不限于：安装、调试、检测方案。 ①内容详细全面、层次清楚、完善可行的计8分； ②实施方案内容包含全面，但未针对各项内容进行详细描述或措施不具体的计5分； ③针对以上方案要求，仅有粗略框架，无具体措施的计3分； ④针对以上方案有缺项的计2分； ⑤内容逻辑混乱、出现常识性错误、存在不可能实现的夸大情形，计1分；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包含但不限于：具体的项目团队人员及安排；岗位责任制度等。 ①机构设置合理，人员配备齐全，技术经验丰富，职责明确得8分； ②机构设置合理，人员配备齐全、岗位职责划分模糊得5分； ③机构设置合理性不足或人员配备不完善、无责任制度得1分； ④未提供的不计分。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 ①内容详细全面、完整、完善可行的计8分； ②内容包含全面，但未针对各项内容进行详细描述的计5分；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 ①内容详细全面、完整、完善可行的计8分； ②内容包含全面，但未针对各项内容进行详细描述的计5分；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内容包含但不限于，供应商针对本项目提供应急预案:突发事件解决措施、紧急故障处理预家、应急服务响应时间等相关内容。①方家完整、针对性强、可实施性高，得8分。 ②方家基本完整、具有一定的针对性、可实施性，得4分。③方斋完整性较为全面、针对性、可实施性一般，得2分。④缺乏针对性、可实施性、完整性，得1分。(5)未提供的不得分。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能提供所投所有产品的合法来源渠道证明文件（包括但不限于产品制造商授权、销售协议、代理协议、原厂授权等）的计4分，不提供或提供不全的均不计分。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p>
            <w:pPr>
              <w:pStyle w:val="null3"/>
            </w:pPr>
            <w:r>
              <w:rPr>
                <w:rFonts w:ascii="仿宋_GB2312" w:hAnsi="仿宋_GB2312" w:cs="仿宋_GB2312" w:eastAsia="仿宋_GB2312"/>
              </w:rPr>
              <w:t>供应商认为应该提交的其他资料.docx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磋商报价得分=(磋商基准价/最终磋商报价)x价格权值(30%)x100(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详见附件：供应商应提交的相关资格证材料.pdf</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详见附件：供应商认为应该提交的其他资料.docx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