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版本号：HDJT2025（128）CG20251104001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勉县河道采砂规划（2026-2030年）编制项目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HDJT2025（128）CG</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勉县河道采砂规划（2026-2030年）编制项目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HDJT2025（128）CG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勉县河道采砂规划（2026-2030年）编制项目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编制勉县2026-2030年河道采砂规划，明确采砂范围、规模、时段等，实现砂石资源有序、合理开发利用，同时为河道采砂管理提供科学依据，助力保障河道行洪安全、生态安全，推动当地水利事业与生态保护。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采购包1（勉县河道采砂规划（2026-2030年）编制项目）：属于专门面向中小企业采购。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2、信用查询：不得为“信用中国”网站(http://www.creditchi na.gov.cn)列入“失信被执行人（页面跳转至“中国执行信息公开网”http://zxgk.court.gov.c n/shixin/）、重大税收违法失信主体的供应商 ；不得为中国政府采购网(http://www.ccgp.g ov.cn)“政府采购严重违法失信行为记录名单”中的供应商。</w:t>
      </w:r>
    </w:p>
    <w:p>
      <w:pPr>
        <w:pStyle w:val="null3"/>
      </w:pPr>
      <w:r>
        <w:rPr>
          <w:rFonts w:ascii="仿宋_GB2312" w:hAnsi="仿宋_GB2312" w:cs="仿宋_GB2312" w:eastAsia="仿宋_GB2312"/>
        </w:rPr>
        <w:t>3、不接受联合体磋商：不接受联合体磋商</w:t>
      </w:r>
    </w:p>
    <w:p>
      <w:pPr>
        <w:pStyle w:val="null3"/>
      </w:pPr>
      <w:r>
        <w:rPr>
          <w:rFonts w:ascii="仿宋_GB2312" w:hAnsi="仿宋_GB2312" w:cs="仿宋_GB2312" w:eastAsia="仿宋_GB2312"/>
        </w:rPr>
        <w:t>4、企业资质：供应商须具备水利工程设计行业乙级及以上资质</w:t>
      </w:r>
    </w:p>
    <w:p>
      <w:pPr>
        <w:pStyle w:val="null3"/>
      </w:pPr>
      <w:r>
        <w:rPr>
          <w:rFonts w:ascii="仿宋_GB2312" w:hAnsi="仿宋_GB2312" w:cs="仿宋_GB2312" w:eastAsia="仿宋_GB2312"/>
        </w:rPr>
        <w:t>5、项目负责人要求：项目负责人须具备水利工程或水利相关专业中级及以上职称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0916-3239750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陕西省西安市碑林区含光北路2号1B2幢1单元11301室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开户名称：华鼎工程咨询集团有限公司宝鸡分公司</w:t>
            </w:r>
          </w:p>
          <w:p>
            <w:pPr>
              <w:pStyle w:val="null3"/>
            </w:pPr>
            <w:r>
              <w:rPr>
                <w:rFonts w:ascii="仿宋_GB2312" w:hAnsi="仿宋_GB2312" w:cs="仿宋_GB2312" w:eastAsia="仿宋_GB2312"/>
              </w:rPr>
              <w:t>开户银行：兴业银行宝鸡分行</w:t>
            </w:r>
          </w:p>
          <w:p>
            <w:pPr>
              <w:pStyle w:val="null3"/>
            </w:pPr>
            <w:r>
              <w:rPr>
                <w:rFonts w:ascii="仿宋_GB2312" w:hAnsi="仿宋_GB2312" w:cs="仿宋_GB2312" w:eastAsia="仿宋_GB2312"/>
              </w:rPr>
              <w:t>银行账号：4580 2010 0100 0901 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gt;的通知》（计价格〔2002〕1980号）、《国家发展改革委办公厅关于招标代理服务收费有关问题的通知》（发改办价格〔2003〕857号）规定标准计取，不足3000元按3000元收取。代理服务费由成交供应商在领取成交通知书时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业须达到国家及行业现行技术规范标准，符合国家及行业验收合格标准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联系人：杨康</w:t>
      </w:r>
    </w:p>
    <w:p>
      <w:pPr>
        <w:pStyle w:val="null3"/>
      </w:pPr>
      <w:r>
        <w:rPr>
          <w:rFonts w:ascii="仿宋_GB2312" w:hAnsi="仿宋_GB2312" w:cs="仿宋_GB2312" w:eastAsia="仿宋_GB2312"/>
        </w:rPr>
        <w:t>联系电话：029-81873112</w:t>
      </w:r>
    </w:p>
    <w:p>
      <w:pPr>
        <w:pStyle w:val="null3"/>
      </w:pPr>
      <w:r>
        <w:rPr>
          <w:rFonts w:ascii="仿宋_GB2312" w:hAnsi="仿宋_GB2312" w:cs="仿宋_GB2312" w:eastAsia="仿宋_GB2312"/>
        </w:rPr>
        <w:t>地址：陕西省西安市碑林区含光北路2号1B2幢1单元11301室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编制勉县2026-2030年河道采砂规划，明确采砂范围、规模、时段等，实现砂石资源有序、合理开发利用，同时为河道采砂管理提供科学依据，助力保障河道行洪安全、生态安全，推动当地水利事业与生态保护。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学编制勉县2026 - 2030年河道采砂规划，明确采砂范围、规模、时段等，实现砂石资源有序、合理开发利用，同时为河道采砂管理提供科学依据，助力保障河道行洪安全、生态安全，推动当地水利事业与生态保护。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编制勉县2026 - 2030年河道采砂规划，明确采砂范围、规模、时段等，实现砂石资源有序、合理开发利用，同时为河道采砂管理提供科学依据，助力保障河道行洪安全、生态安全，推动当地水利事业与生态保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一、项目规模概况</w:t>
            </w:r>
          </w:p>
          <w:p>
            <w:pPr>
              <w:pStyle w:val="null3"/>
              <w:ind w:firstLine="600"/>
              <w:jc w:val="both"/>
            </w:pPr>
            <w:r>
              <w:rPr>
                <w:rFonts w:ascii="仿宋_GB2312" w:hAnsi="仿宋_GB2312" w:cs="仿宋_GB2312" w:eastAsia="仿宋_GB2312"/>
                <w:sz w:val="24"/>
              </w:rPr>
              <w:t>勉县河道采砂规划（</w:t>
            </w:r>
            <w:r>
              <w:rPr>
                <w:rFonts w:ascii="仿宋_GB2312" w:hAnsi="仿宋_GB2312" w:cs="仿宋_GB2312" w:eastAsia="仿宋_GB2312"/>
                <w:sz w:val="24"/>
              </w:rPr>
              <w:t>2026-2030年）编制主要功能或目标:科学编制勉县2026 - 2030年河道采砂规划，明确采砂范围、规模、时段等，实现砂石资源有序、合理开发利用，同时为河道采砂管理提供科学依据，助力保障河道行洪安全、生态安全，推动当地水利事业与生态保护协调发展。</w:t>
            </w:r>
          </w:p>
          <w:p>
            <w:pPr>
              <w:pStyle w:val="null3"/>
              <w:jc w:val="both"/>
            </w:pPr>
            <w:r>
              <w:rPr>
                <w:rFonts w:ascii="仿宋_GB2312" w:hAnsi="仿宋_GB2312" w:cs="仿宋_GB2312" w:eastAsia="仿宋_GB2312"/>
                <w:sz w:val="24"/>
                <w:b/>
              </w:rPr>
              <w:t>二、本项目涉及的主要工作内容：</w:t>
            </w:r>
          </w:p>
          <w:p>
            <w:pPr>
              <w:pStyle w:val="null3"/>
              <w:ind w:firstLine="480"/>
              <w:jc w:val="both"/>
            </w:pPr>
            <w:r>
              <w:rPr>
                <w:rFonts w:ascii="仿宋_GB2312" w:hAnsi="仿宋_GB2312" w:cs="仿宋_GB2312" w:eastAsia="仿宋_GB2312"/>
                <w:sz w:val="24"/>
              </w:rPr>
              <w:t>勉县河道采砂（</w:t>
            </w:r>
            <w:r>
              <w:rPr>
                <w:rFonts w:ascii="仿宋_GB2312" w:hAnsi="仿宋_GB2312" w:cs="仿宋_GB2312" w:eastAsia="仿宋_GB2312"/>
                <w:sz w:val="24"/>
              </w:rPr>
              <w:t>2026-2030年）编制报告项目主要包括：</w:t>
            </w:r>
            <w:r>
              <w:rPr>
                <w:rFonts w:ascii="仿宋_GB2312" w:hAnsi="仿宋_GB2312" w:cs="仿宋_GB2312" w:eastAsia="仿宋_GB2312"/>
                <w:sz w:val="24"/>
              </w:rPr>
              <w:t>为编制、报批报告而进行的所有资料集，现场踏勘、测量、调查，</w:t>
            </w:r>
            <w:r>
              <w:rPr>
                <w:rFonts w:ascii="仿宋_GB2312" w:hAnsi="仿宋_GB2312" w:cs="仿宋_GB2312" w:eastAsia="仿宋_GB2312"/>
                <w:sz w:val="24"/>
              </w:rPr>
              <w:t>并完成手续报批</w:t>
            </w:r>
            <w:r>
              <w:rPr>
                <w:rFonts w:ascii="仿宋_GB2312" w:hAnsi="仿宋_GB2312" w:cs="仿宋_GB2312" w:eastAsia="仿宋_GB2312"/>
                <w:sz w:val="24"/>
              </w:rPr>
              <w:t>等服务。</w:t>
            </w:r>
          </w:p>
          <w:p>
            <w:pPr>
              <w:pStyle w:val="null3"/>
              <w:jc w:val="both"/>
            </w:pPr>
            <w:r>
              <w:rPr>
                <w:rFonts w:ascii="仿宋_GB2312" w:hAnsi="仿宋_GB2312" w:cs="仿宋_GB2312" w:eastAsia="仿宋_GB2312"/>
                <w:sz w:val="24"/>
                <w:b/>
              </w:rPr>
              <w:t>三、成果要求</w:t>
            </w:r>
          </w:p>
          <w:p>
            <w:pPr>
              <w:pStyle w:val="null3"/>
              <w:ind w:firstLine="360"/>
              <w:jc w:val="both"/>
            </w:pPr>
            <w:r>
              <w:rPr>
                <w:rFonts w:ascii="仿宋_GB2312" w:hAnsi="仿宋_GB2312" w:cs="仿宋_GB2312" w:eastAsia="仿宋_GB2312"/>
                <w:sz w:val="24"/>
              </w:rPr>
              <w:t>按期、保质、保量完成本服务任务，达到合同要求。对最终成果资料（包括报告、文件）要求如下：</w:t>
            </w:r>
          </w:p>
          <w:p>
            <w:pPr>
              <w:pStyle w:val="null3"/>
              <w:numPr>
                <w:ilvl w:val="0"/>
                <w:numId w:val="1"/>
              </w:numPr>
              <w:jc w:val="both"/>
            </w:pPr>
            <w:r>
              <w:rPr>
                <w:rFonts w:ascii="仿宋_GB2312" w:hAnsi="仿宋_GB2312" w:cs="仿宋_GB2312" w:eastAsia="仿宋_GB2312"/>
                <w:sz w:val="24"/>
              </w:rPr>
              <w:t xml:space="preserve"> 规划编制需严格遵循国家、陕西省及勉县关于水利、生态环境保护等方面的法律法规和政策要求，与当地国土空间规划、水利发展规划等有效衔接；</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规划内容要全面、细致，对采砂区域水文、地质、生态等情况进行充分调研分析，科学预测采砂对河道及周边生态环境的影响，并提出针对性的生态保护、污染防治等措施；</w:t>
            </w:r>
          </w:p>
          <w:p>
            <w:pPr>
              <w:pStyle w:val="null3"/>
              <w:numPr>
                <w:ilvl w:val="0"/>
                <w:numId w:val="1"/>
              </w:numPr>
              <w:jc w:val="both"/>
            </w:pPr>
            <w:r>
              <w:rPr>
                <w:rFonts w:ascii="仿宋_GB2312" w:hAnsi="仿宋_GB2312" w:cs="仿宋_GB2312" w:eastAsia="仿宋_GB2312"/>
                <w:sz w:val="24"/>
              </w:rPr>
              <w:t>服务过程中，编制单位需积极配合采购方及相关部门的工作，及时根据意见对规划内容进行修改完善；</w:t>
            </w:r>
          </w:p>
          <w:p>
            <w:pPr>
              <w:pStyle w:val="null3"/>
              <w:numPr>
                <w:ilvl w:val="0"/>
                <w:numId w:val="1"/>
              </w:numPr>
              <w:jc w:val="both"/>
            </w:pPr>
            <w:r>
              <w:rPr>
                <w:rFonts w:ascii="仿宋_GB2312" w:hAnsi="仿宋_GB2312" w:cs="仿宋_GB2312" w:eastAsia="仿宋_GB2312"/>
                <w:sz w:val="24"/>
              </w:rPr>
              <w:t>供应商及时、充分提交相应数量的，满足国家及行业有关规定的，符合本服务内容、深度和要求的资料，以满足项目进度要求。资料的组织结构清晰、逻辑性强。资料内容要正确、准确、一致、清晰完整，内容齐全、结论明确、论据充分，满足项目要求；</w:t>
            </w:r>
          </w:p>
          <w:p>
            <w:pPr>
              <w:pStyle w:val="null3"/>
              <w:numPr>
                <w:ilvl w:val="0"/>
                <w:numId w:val="1"/>
              </w:numPr>
              <w:jc w:val="both"/>
            </w:pPr>
            <w:r>
              <w:rPr>
                <w:rFonts w:ascii="仿宋_GB2312" w:hAnsi="仿宋_GB2312" w:cs="仿宋_GB2312" w:eastAsia="仿宋_GB2312"/>
                <w:sz w:val="24"/>
              </w:rPr>
              <w:t>最终交付的规划成果（包括规划文本、图纸等）需通过相关主管部门组织的评审，确保其科学性、合理性与可操作性。</w:t>
            </w:r>
          </w:p>
          <w:p>
            <w:pPr>
              <w:pStyle w:val="null3"/>
              <w:jc w:val="both"/>
            </w:pPr>
            <w:r>
              <w:rPr>
                <w:rFonts w:ascii="仿宋_GB2312" w:hAnsi="仿宋_GB2312" w:cs="仿宋_GB2312" w:eastAsia="仿宋_GB2312"/>
                <w:sz w:val="24"/>
                <w:b/>
              </w:rPr>
              <w:t>四、违约责任</w:t>
            </w:r>
          </w:p>
          <w:p>
            <w:pPr>
              <w:pStyle w:val="null3"/>
              <w:ind w:firstLine="480"/>
              <w:jc w:val="both"/>
            </w:pPr>
            <w:r>
              <w:rPr>
                <w:rFonts w:ascii="仿宋_GB2312" w:hAnsi="仿宋_GB2312" w:cs="仿宋_GB2312" w:eastAsia="仿宋_GB2312"/>
                <w:sz w:val="24"/>
              </w:rPr>
              <w:t>未按合同要求提供服务，采购人有权终止合同，并对供方违约行为进行追究，同时按《中华人民共和国政府采购法》的有关规定进行处罚。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符合相关法规要求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合同签订工程开工后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工程进度80%时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工程完成编制，出最终编制报告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1、具有独立承担民事责任能力的合法注册的法人或其他组织或自然人，提供有效的营业执照或事业单位法人证书或其他， 自然人提供其身份证明；2、税收缴纳证明递交响应文件截止时间前一年内至少一个月的纳税证明或税务机关开具的完税证明（任意税种），纳税证明或完税证明上应有代收机构或税务机关的公章或业务专用章，依法免税的单位应提供相关证明材料；3、社会保障资金缴纳证明：递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4 、具有履行本合同所必需的设备和专业技术能力的说明及承诺（提供承诺书）；5、出具参加本次政府采购活动前三年内在经营活动中没有重大违法记录的书面声明； 注：事业单位参与磋商可不提供财务状况报告、社会保障资金缴纳证明及税收缴纳证明。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在项目电子化交易系统中按要求上传相应证明文件并进行电子签章。提供2024年度经审计的完整财务审计报告（审计报告应当包含报告正文、资产负债表、利润表、现金流量表及所有者权益变动表（无所有者权益表的提供书面说明）、附注和会计师事务所营业执照 , 报告正文应当有会计师事务所公章，2个注册会计师的证书、签字和盖章。成立时间至提交响应文件截止时间不足一年的可提供成立后任意时段的资产负债表），或2025年1月1日至今期间银行出具的资信证明（附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 na.gov.cn)列入“失信被执行人（页面跳转至“中国执行信息公开网”http://zxgk.court.gov.c n/shixin/）、重大税收违法失信主体的供应商 ；不得为中国政府采购网(http://www.ccgp.g 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供应商须具备水利工程设计行业乙级及以上资质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项目负责人须具备水利工程或水利相关专业中级及以上职称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1.供应商对项目背景、现状、规划条件、环评条件的认识和了解，对现状及规划的分析与研究，编制内容详细、清晰，研究结构科学合理，按其响应程度计0～6分。 2.供应商对本项目的规划实施方案思路清晰，内容框架完整，实施方案合理，按其响应程度计0～6分。 3.对勉县河道采砂规划编制过程中可能遇到的实际问题进行调研、分析，提出解决方案，按其响应程度计0～5分。 4.供应商对本项目的工作进度安排详细、科学、合理、切实可行，按其响应程度计0～5分。 5.供应商对本项目成果构成的把控与深度认识的准确性，按其合理程度计0～5分。 6.供应商对本项目重难点的分析，内容详实、有效，按其响应程度计0～5分。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1.拟负责本项目的团队组成，团队人员从业经验丰富，人员配备充足、分工明确、合理，横向比较综合赋 分（0-5）； 2.规划报告编制的拟派项目负责人具备水利相关专业中级技术职称资格计1分，具备水利相关专业高级及以上技术职称资格计3分（提供截止至磋商时间前6个月内任意一个月的社保缴纳证明材料，否则不计分）； 3.规划编制拟派项目组成人员不少于4人，项目组成人员具备水利方面高级及以上（含高级）职称1名得2分，最高得4分。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具有针对本项目若出现缺陷和瑕疵的应急补救措施和快速响应能力，对于本项目的后续服务工作安排详尽、切实、可行，且提出合理化建议，根据响应情况计0～10分。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1.针对服务过程中可能出现的问题有具体可行的应急措施和解决方案 , 横向比较综合赋分(0-5 分)； 2.针对本项目实际情况拟定相关售后服务方案，包含服务目标，服务内容，响应时间等情况进行综合赋分（0-5）；</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供应商具有2022年10月至今（以合同签订时间为准）规划报告编制类项目业绩，每提供一个得2分，最高得6分。 注：提供合同或中标通知书复印件，不提供者不计分。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