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F63FB7">
      <w:pPr>
        <w:spacing w:line="500" w:lineRule="exact"/>
        <w:jc w:val="center"/>
        <w:rPr>
          <w:rFonts w:hint="eastAsia" w:ascii="宋体" w:hAnsi="宋体" w:eastAsia="宋体" w:cs="宋体"/>
          <w:b/>
          <w:color w:val="auto"/>
          <w:highlight w:val="none"/>
        </w:rPr>
      </w:pPr>
      <w:r>
        <w:rPr>
          <w:rFonts w:hint="eastAsia" w:ascii="宋体" w:hAnsi="宋体" w:eastAsia="宋体" w:cs="宋体"/>
          <w:b/>
          <w:color w:val="auto"/>
          <w:sz w:val="36"/>
          <w:szCs w:val="36"/>
          <w:highlight w:val="none"/>
        </w:rPr>
        <w:t>政府采购合同基本条款格式</w:t>
      </w:r>
      <w:bookmarkStart w:id="0" w:name="_Toc26590"/>
    </w:p>
    <w:bookmarkEnd w:id="0"/>
    <w:p w14:paraId="6BC02015">
      <w:pPr>
        <w:spacing w:line="360" w:lineRule="auto"/>
        <w:rPr>
          <w:rFonts w:hint="eastAsia" w:ascii="宋体" w:hAnsi="宋体" w:eastAsia="宋体" w:cs="宋体"/>
          <w:b/>
          <w:color w:val="auto"/>
          <w:sz w:val="24"/>
          <w:highlight w:val="none"/>
        </w:rPr>
      </w:pPr>
    </w:p>
    <w:p w14:paraId="7993C478">
      <w:pPr>
        <w:pStyle w:val="5"/>
        <w:ind w:firstLine="482" w:firstLineChars="200"/>
        <w:jc w:val="both"/>
        <w:rPr>
          <w:rFonts w:hint="eastAsia"/>
          <w:b/>
          <w:bCs/>
          <w:sz w:val="24"/>
          <w:highlight w:val="none"/>
        </w:rPr>
      </w:pPr>
      <w:r>
        <w:rPr>
          <w:rFonts w:hint="eastAsia"/>
          <w:b/>
          <w:bCs/>
          <w:sz w:val="24"/>
          <w:highlight w:val="none"/>
        </w:rPr>
        <w:t>注：本章节的采购合同仅供参考，正式合同以甲乙双方签订的</w:t>
      </w:r>
      <w:r>
        <w:rPr>
          <w:rFonts w:hint="eastAsia"/>
          <w:b/>
          <w:bCs/>
          <w:sz w:val="24"/>
          <w:highlight w:val="none"/>
          <w:lang w:eastAsia="zh-CN"/>
        </w:rPr>
        <w:t>合同</w:t>
      </w:r>
      <w:r>
        <w:rPr>
          <w:rFonts w:hint="eastAsia"/>
          <w:b/>
          <w:bCs/>
          <w:sz w:val="24"/>
          <w:highlight w:val="none"/>
        </w:rPr>
        <w:t>为准。</w:t>
      </w:r>
    </w:p>
    <w:p w14:paraId="4E865017">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 xml:space="preserve">合同编号： </w:t>
      </w:r>
    </w:p>
    <w:p w14:paraId="0DC3DE36">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 xml:space="preserve">签订地点： </w:t>
      </w:r>
    </w:p>
    <w:p w14:paraId="10F88202">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签订时间:</w:t>
      </w:r>
    </w:p>
    <w:p w14:paraId="4E35A579">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采购人（甲方）：</w:t>
      </w:r>
    </w:p>
    <w:p w14:paraId="4A0F1DA1">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供应商（乙方）：</w:t>
      </w:r>
    </w:p>
    <w:p w14:paraId="02B075A6">
      <w:pPr>
        <w:pStyle w:val="8"/>
        <w:spacing w:before="120" w:beforeLines="50" w:line="360" w:lineRule="auto"/>
        <w:ind w:firstLine="480"/>
        <w:rPr>
          <w:rFonts w:hint="eastAsia" w:ascii="宋体" w:hAnsi="宋体" w:eastAsia="宋体" w:cs="宋体"/>
          <w:highlight w:val="none"/>
        </w:rPr>
      </w:pPr>
      <w:r>
        <w:rPr>
          <w:rFonts w:hint="eastAsia" w:ascii="宋体" w:hAnsi="宋体" w:eastAsia="宋体" w:cs="宋体"/>
          <w:highlight w:val="none"/>
        </w:rPr>
        <w:t>根据《中华人民共和国</w:t>
      </w:r>
      <w:r>
        <w:rPr>
          <w:rFonts w:hint="eastAsia" w:ascii="宋体" w:hAnsi="宋体" w:eastAsia="宋体" w:cs="宋体"/>
          <w:highlight w:val="none"/>
          <w:lang w:eastAsia="zh-CN"/>
        </w:rPr>
        <w:t>民法典</w:t>
      </w:r>
      <w:r>
        <w:rPr>
          <w:rFonts w:hint="eastAsia" w:ascii="宋体" w:hAnsi="宋体" w:eastAsia="宋体" w:cs="宋体"/>
          <w:highlight w:val="none"/>
        </w:rPr>
        <w:t>》</w:t>
      </w:r>
      <w:r>
        <w:rPr>
          <w:rFonts w:hint="eastAsia" w:ascii="宋体" w:hAnsi="宋体" w:eastAsia="宋体" w:cs="宋体"/>
          <w:highlight w:val="none"/>
          <w:lang w:eastAsia="zh-CN"/>
        </w:rPr>
        <w:t>、</w:t>
      </w:r>
      <w:r>
        <w:rPr>
          <w:rFonts w:hint="eastAsia" w:ascii="宋体" w:hAnsi="宋体" w:eastAsia="宋体" w:cs="宋体"/>
          <w:highlight w:val="none"/>
        </w:rPr>
        <w:t>《中华人民共和国政府采购法》及实施条例和甲方</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采购项目（采购项目编号：</w:t>
      </w:r>
      <w:r>
        <w:rPr>
          <w:rFonts w:hint="eastAsia" w:ascii="宋体" w:hAnsi="宋体" w:eastAsia="宋体" w:cs="宋体"/>
          <w:highlight w:val="none"/>
          <w:u w:val="single"/>
        </w:rPr>
        <w:t xml:space="preserve">          </w:t>
      </w:r>
      <w:r>
        <w:rPr>
          <w:rFonts w:hint="eastAsia" w:ascii="宋体" w:hAnsi="宋体" w:eastAsia="宋体" w:cs="宋体"/>
          <w:highlight w:val="none"/>
        </w:rPr>
        <w:t>）的</w:t>
      </w:r>
      <w:r>
        <w:rPr>
          <w:rFonts w:hint="eastAsia" w:ascii="宋体" w:hAnsi="宋体" w:eastAsia="宋体" w:cs="宋体"/>
          <w:highlight w:val="none"/>
          <w:lang w:eastAsia="zh-CN"/>
        </w:rPr>
        <w:t>招标</w:t>
      </w:r>
      <w:r>
        <w:rPr>
          <w:rFonts w:hint="eastAsia" w:ascii="宋体" w:hAnsi="宋体" w:eastAsia="宋体" w:cs="宋体"/>
          <w:highlight w:val="none"/>
        </w:rPr>
        <w:t>文件、</w:t>
      </w:r>
      <w:r>
        <w:rPr>
          <w:rFonts w:hint="eastAsia" w:ascii="宋体" w:hAnsi="宋体" w:eastAsia="宋体" w:cs="宋体"/>
          <w:highlight w:val="none"/>
          <w:lang w:eastAsia="zh-CN"/>
        </w:rPr>
        <w:t>响应文件</w:t>
      </w:r>
      <w:r>
        <w:rPr>
          <w:rFonts w:hint="eastAsia" w:ascii="宋体" w:hAnsi="宋体" w:eastAsia="宋体" w:cs="宋体"/>
          <w:highlight w:val="none"/>
        </w:rPr>
        <w:t>等有关规定，为确保甲方采购项目的顺利实施，甲、乙双方在平等自愿原则下签订本合同，并共同遵守如下条款：</w:t>
      </w:r>
    </w:p>
    <w:p w14:paraId="0049FE4F">
      <w:pPr>
        <w:pStyle w:val="8"/>
        <w:spacing w:before="120" w:beforeLines="50" w:line="360" w:lineRule="auto"/>
        <w:ind w:firstLine="482"/>
        <w:rPr>
          <w:rFonts w:hint="eastAsia" w:ascii="宋体" w:hAnsi="宋体" w:eastAsia="宋体" w:cs="宋体"/>
          <w:b/>
          <w:highlight w:val="none"/>
        </w:rPr>
      </w:pPr>
      <w:bookmarkStart w:id="1" w:name="_Toc17101_WPSOffice_Level2"/>
      <w:bookmarkStart w:id="2" w:name="_Toc24519_WPSOffice_Level2"/>
      <w:bookmarkStart w:id="3" w:name="_Toc9692_WPSOffice_Level2"/>
      <w:r>
        <w:rPr>
          <w:rFonts w:hint="eastAsia" w:ascii="宋体" w:hAnsi="宋体" w:eastAsia="宋体" w:cs="宋体"/>
          <w:b/>
          <w:highlight w:val="none"/>
        </w:rPr>
        <w:t>第一条 合同标的及数量</w:t>
      </w:r>
      <w:bookmarkEnd w:id="1"/>
      <w:bookmarkEnd w:id="2"/>
      <w:bookmarkEnd w:id="3"/>
    </w:p>
    <w:p w14:paraId="2419738B">
      <w:pPr>
        <w:pStyle w:val="8"/>
        <w:spacing w:before="120" w:beforeLines="50" w:line="360" w:lineRule="auto"/>
        <w:ind w:firstLine="480"/>
        <w:rPr>
          <w:rFonts w:hint="eastAsia" w:ascii="宋体" w:hAnsi="宋体" w:eastAsia="宋体" w:cs="宋体"/>
          <w:b/>
          <w:highlight w:val="none"/>
        </w:rPr>
      </w:pPr>
      <w:r>
        <w:rPr>
          <w:rFonts w:hint="eastAsia" w:ascii="宋体" w:hAnsi="宋体" w:eastAsia="宋体" w:cs="宋体"/>
          <w:highlight w:val="none"/>
        </w:rPr>
        <w:t>1、乙方向甲方提供下列货物（产品）：</w:t>
      </w:r>
    </w:p>
    <w:p w14:paraId="0AA8024C">
      <w:pPr>
        <w:pStyle w:val="3"/>
        <w:spacing w:before="120" w:beforeLines="50"/>
        <w:ind w:firstLine="0"/>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bookmarkStart w:id="4" w:name="_Toc4461_WPSOffice_Level3"/>
      <w:r>
        <w:rPr>
          <w:rFonts w:hint="eastAsia" w:ascii="宋体" w:hAnsi="宋体" w:eastAsia="宋体" w:cs="宋体"/>
          <w:b/>
          <w:sz w:val="32"/>
          <w:szCs w:val="32"/>
          <w:highlight w:val="none"/>
        </w:rPr>
        <w:t>供货清单</w:t>
      </w:r>
      <w:bookmarkEnd w:id="4"/>
    </w:p>
    <w:tbl>
      <w:tblPr>
        <w:tblStyle w:val="6"/>
        <w:tblpPr w:leftFromText="180" w:rightFromText="180" w:vertAnchor="text" w:horzAnchor="margin" w:tblpXSpec="right" w:tblpY="384"/>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1"/>
        <w:gridCol w:w="1703"/>
        <w:gridCol w:w="761"/>
        <w:gridCol w:w="1481"/>
        <w:gridCol w:w="808"/>
        <w:gridCol w:w="717"/>
        <w:gridCol w:w="730"/>
        <w:gridCol w:w="1060"/>
        <w:gridCol w:w="1461"/>
      </w:tblGrid>
      <w:tr w14:paraId="51C875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1" w:type="dxa"/>
            <w:noWrap w:val="0"/>
            <w:vAlign w:val="center"/>
          </w:tcPr>
          <w:p w14:paraId="3C59D1A8">
            <w:pPr>
              <w:pStyle w:val="2"/>
              <w:spacing w:before="0" w:after="0"/>
              <w:jc w:val="center"/>
              <w:rPr>
                <w:rFonts w:hint="eastAsia" w:ascii="宋体" w:hAnsi="宋体" w:eastAsia="宋体" w:cs="宋体"/>
                <w:sz w:val="24"/>
                <w:szCs w:val="24"/>
                <w:highlight w:val="none"/>
              </w:rPr>
            </w:pPr>
            <w:bookmarkStart w:id="5" w:name="_Toc15267"/>
            <w:r>
              <w:rPr>
                <w:rFonts w:hint="eastAsia" w:ascii="宋体" w:hAnsi="宋体" w:eastAsia="宋体" w:cs="宋体"/>
                <w:sz w:val="24"/>
                <w:szCs w:val="24"/>
                <w:highlight w:val="none"/>
              </w:rPr>
              <w:t>序号</w:t>
            </w:r>
            <w:bookmarkEnd w:id="5"/>
          </w:p>
        </w:tc>
        <w:tc>
          <w:tcPr>
            <w:tcW w:w="1703" w:type="dxa"/>
            <w:noWrap w:val="0"/>
            <w:vAlign w:val="center"/>
          </w:tcPr>
          <w:p w14:paraId="652EB129">
            <w:pPr>
              <w:pStyle w:val="2"/>
              <w:spacing w:before="0" w:after="0"/>
              <w:jc w:val="center"/>
              <w:rPr>
                <w:rFonts w:hint="eastAsia" w:ascii="宋体" w:hAnsi="宋体" w:eastAsia="宋体" w:cs="宋体"/>
                <w:sz w:val="24"/>
                <w:szCs w:val="24"/>
                <w:highlight w:val="none"/>
              </w:rPr>
            </w:pPr>
            <w:bookmarkStart w:id="6" w:name="_Toc16280"/>
            <w:r>
              <w:rPr>
                <w:rFonts w:hint="eastAsia" w:ascii="宋体" w:hAnsi="宋体" w:eastAsia="宋体" w:cs="宋体"/>
                <w:sz w:val="24"/>
                <w:szCs w:val="24"/>
                <w:highlight w:val="none"/>
              </w:rPr>
              <w:t>货物名称</w:t>
            </w:r>
            <w:bookmarkEnd w:id="6"/>
          </w:p>
        </w:tc>
        <w:tc>
          <w:tcPr>
            <w:tcW w:w="761" w:type="dxa"/>
            <w:noWrap w:val="0"/>
            <w:vAlign w:val="center"/>
          </w:tcPr>
          <w:p w14:paraId="440121A8">
            <w:pPr>
              <w:pStyle w:val="2"/>
              <w:spacing w:before="0" w:after="0"/>
              <w:jc w:val="center"/>
              <w:rPr>
                <w:rFonts w:hint="eastAsia" w:ascii="宋体" w:hAnsi="宋体" w:eastAsia="宋体" w:cs="宋体"/>
                <w:sz w:val="24"/>
                <w:szCs w:val="24"/>
                <w:highlight w:val="none"/>
              </w:rPr>
            </w:pPr>
            <w:bookmarkStart w:id="7" w:name="_Toc16850"/>
            <w:r>
              <w:rPr>
                <w:rFonts w:hint="eastAsia" w:ascii="宋体" w:hAnsi="宋体" w:eastAsia="宋体" w:cs="宋体"/>
                <w:sz w:val="24"/>
                <w:szCs w:val="24"/>
                <w:highlight w:val="none"/>
              </w:rPr>
              <w:t>品目代码</w:t>
            </w:r>
            <w:bookmarkEnd w:id="7"/>
          </w:p>
        </w:tc>
        <w:tc>
          <w:tcPr>
            <w:tcW w:w="1481" w:type="dxa"/>
            <w:noWrap w:val="0"/>
            <w:vAlign w:val="center"/>
          </w:tcPr>
          <w:p w14:paraId="046FA126">
            <w:pPr>
              <w:pStyle w:val="2"/>
              <w:spacing w:before="0" w:after="0"/>
              <w:jc w:val="center"/>
              <w:rPr>
                <w:rFonts w:hint="eastAsia" w:ascii="宋体" w:hAnsi="宋体" w:eastAsia="宋体" w:cs="宋体"/>
                <w:sz w:val="24"/>
                <w:szCs w:val="24"/>
                <w:highlight w:val="none"/>
              </w:rPr>
            </w:pPr>
            <w:bookmarkStart w:id="8" w:name="_Toc22217"/>
            <w:r>
              <w:rPr>
                <w:rFonts w:hint="eastAsia" w:ascii="宋体" w:hAnsi="宋体" w:eastAsia="宋体" w:cs="宋体"/>
                <w:sz w:val="24"/>
                <w:szCs w:val="24"/>
                <w:highlight w:val="none"/>
              </w:rPr>
              <w:t>品牌/型号</w:t>
            </w:r>
            <w:bookmarkEnd w:id="8"/>
          </w:p>
          <w:p w14:paraId="217AB351">
            <w:pPr>
              <w:rPr>
                <w:rFonts w:hint="eastAsia" w:ascii="宋体" w:hAnsi="宋体" w:eastAsia="宋体" w:cs="宋体"/>
                <w:b/>
                <w:bCs/>
                <w:szCs w:val="21"/>
                <w:highlight w:val="none"/>
              </w:rPr>
            </w:pPr>
            <w:r>
              <w:rPr>
                <w:rFonts w:hint="eastAsia" w:ascii="宋体" w:hAnsi="宋体" w:eastAsia="宋体" w:cs="宋体"/>
                <w:b/>
                <w:bCs/>
                <w:szCs w:val="21"/>
                <w:highlight w:val="none"/>
              </w:rPr>
              <w:t>（技术参数）</w:t>
            </w:r>
          </w:p>
        </w:tc>
        <w:tc>
          <w:tcPr>
            <w:tcW w:w="808" w:type="dxa"/>
            <w:noWrap w:val="0"/>
            <w:vAlign w:val="center"/>
          </w:tcPr>
          <w:p w14:paraId="610B5DC7">
            <w:pPr>
              <w:pStyle w:val="2"/>
              <w:spacing w:before="0" w:after="0"/>
              <w:jc w:val="center"/>
              <w:rPr>
                <w:rFonts w:hint="eastAsia" w:ascii="宋体" w:hAnsi="宋体" w:eastAsia="宋体" w:cs="宋体"/>
                <w:sz w:val="24"/>
                <w:szCs w:val="24"/>
                <w:highlight w:val="none"/>
              </w:rPr>
            </w:pPr>
            <w:bookmarkStart w:id="9" w:name="_Toc13090"/>
            <w:r>
              <w:rPr>
                <w:rFonts w:hint="eastAsia" w:ascii="宋体" w:hAnsi="宋体" w:eastAsia="宋体" w:cs="宋体"/>
                <w:sz w:val="24"/>
                <w:szCs w:val="24"/>
                <w:highlight w:val="none"/>
              </w:rPr>
              <w:t>规格</w:t>
            </w:r>
            <w:bookmarkEnd w:id="9"/>
          </w:p>
        </w:tc>
        <w:tc>
          <w:tcPr>
            <w:tcW w:w="717" w:type="dxa"/>
            <w:noWrap w:val="0"/>
            <w:vAlign w:val="center"/>
          </w:tcPr>
          <w:p w14:paraId="256A1FEA">
            <w:pPr>
              <w:pStyle w:val="2"/>
              <w:spacing w:before="0" w:after="0" w:line="240" w:lineRule="auto"/>
              <w:jc w:val="center"/>
              <w:rPr>
                <w:rFonts w:hint="eastAsia" w:ascii="宋体" w:hAnsi="宋体" w:eastAsia="宋体" w:cs="宋体"/>
                <w:sz w:val="24"/>
                <w:szCs w:val="24"/>
                <w:highlight w:val="none"/>
              </w:rPr>
            </w:pPr>
            <w:bookmarkStart w:id="10" w:name="_Toc16843"/>
            <w:r>
              <w:rPr>
                <w:rFonts w:hint="eastAsia" w:ascii="宋体" w:hAnsi="宋体" w:eastAsia="宋体" w:cs="宋体"/>
                <w:sz w:val="24"/>
                <w:szCs w:val="24"/>
                <w:highlight w:val="none"/>
              </w:rPr>
              <w:t>计量单位</w:t>
            </w:r>
            <w:bookmarkEnd w:id="10"/>
          </w:p>
        </w:tc>
        <w:tc>
          <w:tcPr>
            <w:tcW w:w="730" w:type="dxa"/>
            <w:noWrap w:val="0"/>
            <w:vAlign w:val="center"/>
          </w:tcPr>
          <w:p w14:paraId="5AEC9DB7">
            <w:pPr>
              <w:pStyle w:val="2"/>
              <w:spacing w:before="0" w:after="0"/>
              <w:jc w:val="center"/>
              <w:rPr>
                <w:rFonts w:hint="eastAsia" w:ascii="宋体" w:hAnsi="宋体" w:eastAsia="宋体" w:cs="宋体"/>
                <w:sz w:val="24"/>
                <w:szCs w:val="24"/>
                <w:highlight w:val="none"/>
              </w:rPr>
            </w:pPr>
            <w:bookmarkStart w:id="11" w:name="_Toc2660"/>
            <w:r>
              <w:rPr>
                <w:rFonts w:hint="eastAsia" w:ascii="宋体" w:hAnsi="宋体" w:eastAsia="宋体" w:cs="宋体"/>
                <w:sz w:val="24"/>
                <w:szCs w:val="24"/>
                <w:highlight w:val="none"/>
              </w:rPr>
              <w:t>数量</w:t>
            </w:r>
            <w:bookmarkEnd w:id="11"/>
          </w:p>
        </w:tc>
        <w:tc>
          <w:tcPr>
            <w:tcW w:w="1060" w:type="dxa"/>
            <w:noWrap w:val="0"/>
            <w:vAlign w:val="center"/>
          </w:tcPr>
          <w:p w14:paraId="3B3E4F45">
            <w:pPr>
              <w:pStyle w:val="2"/>
              <w:spacing w:before="0" w:after="0"/>
              <w:jc w:val="center"/>
              <w:rPr>
                <w:rFonts w:hint="eastAsia" w:ascii="宋体" w:hAnsi="宋体" w:eastAsia="宋体" w:cs="宋体"/>
                <w:sz w:val="24"/>
                <w:szCs w:val="24"/>
                <w:highlight w:val="none"/>
              </w:rPr>
            </w:pPr>
            <w:bookmarkStart w:id="12" w:name="_Toc29646"/>
            <w:r>
              <w:rPr>
                <w:rFonts w:hint="eastAsia" w:ascii="宋体" w:hAnsi="宋体" w:eastAsia="宋体" w:cs="宋体"/>
                <w:sz w:val="24"/>
                <w:szCs w:val="24"/>
                <w:highlight w:val="none"/>
              </w:rPr>
              <w:t>单价（元）</w:t>
            </w:r>
            <w:bookmarkEnd w:id="12"/>
          </w:p>
        </w:tc>
        <w:tc>
          <w:tcPr>
            <w:tcW w:w="1461" w:type="dxa"/>
            <w:noWrap w:val="0"/>
            <w:vAlign w:val="center"/>
          </w:tcPr>
          <w:p w14:paraId="4191A02B">
            <w:pPr>
              <w:pStyle w:val="2"/>
              <w:spacing w:before="0" w:after="0"/>
              <w:ind w:left="236" w:hanging="236" w:hangingChars="98"/>
              <w:jc w:val="center"/>
              <w:rPr>
                <w:rFonts w:hint="eastAsia" w:ascii="宋体" w:hAnsi="宋体" w:eastAsia="宋体" w:cs="宋体"/>
                <w:sz w:val="24"/>
                <w:szCs w:val="24"/>
                <w:highlight w:val="none"/>
              </w:rPr>
            </w:pPr>
            <w:bookmarkStart w:id="13" w:name="_Toc19232"/>
            <w:r>
              <w:rPr>
                <w:rFonts w:hint="eastAsia" w:ascii="宋体" w:hAnsi="宋体" w:eastAsia="宋体" w:cs="宋体"/>
                <w:sz w:val="24"/>
                <w:szCs w:val="24"/>
                <w:highlight w:val="none"/>
              </w:rPr>
              <w:t>金额 (元)</w:t>
            </w:r>
            <w:bookmarkEnd w:id="13"/>
          </w:p>
        </w:tc>
      </w:tr>
      <w:tr w14:paraId="405C95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1" w:type="dxa"/>
            <w:noWrap w:val="0"/>
            <w:vAlign w:val="top"/>
          </w:tcPr>
          <w:p w14:paraId="756BBED4">
            <w:pPr>
              <w:pStyle w:val="2"/>
              <w:spacing w:before="0" w:after="0" w:line="360" w:lineRule="auto"/>
              <w:rPr>
                <w:rFonts w:hint="eastAsia" w:ascii="宋体" w:hAnsi="宋体" w:eastAsia="宋体" w:cs="宋体"/>
                <w:sz w:val="24"/>
                <w:szCs w:val="24"/>
                <w:highlight w:val="none"/>
              </w:rPr>
            </w:pPr>
          </w:p>
        </w:tc>
        <w:tc>
          <w:tcPr>
            <w:tcW w:w="1703" w:type="dxa"/>
            <w:noWrap w:val="0"/>
            <w:vAlign w:val="top"/>
          </w:tcPr>
          <w:p w14:paraId="5FA01EF2">
            <w:pPr>
              <w:pStyle w:val="2"/>
              <w:spacing w:before="0" w:after="0" w:line="360" w:lineRule="auto"/>
              <w:rPr>
                <w:rFonts w:hint="eastAsia" w:ascii="宋体" w:hAnsi="宋体" w:eastAsia="宋体" w:cs="宋体"/>
                <w:sz w:val="24"/>
                <w:szCs w:val="24"/>
                <w:highlight w:val="none"/>
              </w:rPr>
            </w:pPr>
          </w:p>
        </w:tc>
        <w:tc>
          <w:tcPr>
            <w:tcW w:w="761" w:type="dxa"/>
            <w:noWrap w:val="0"/>
            <w:vAlign w:val="top"/>
          </w:tcPr>
          <w:p w14:paraId="4E15F515">
            <w:pPr>
              <w:pStyle w:val="2"/>
              <w:spacing w:before="0" w:after="0" w:line="360" w:lineRule="auto"/>
              <w:rPr>
                <w:rFonts w:hint="eastAsia" w:ascii="宋体" w:hAnsi="宋体" w:eastAsia="宋体" w:cs="宋体"/>
                <w:sz w:val="24"/>
                <w:szCs w:val="24"/>
                <w:highlight w:val="none"/>
              </w:rPr>
            </w:pPr>
          </w:p>
        </w:tc>
        <w:tc>
          <w:tcPr>
            <w:tcW w:w="1481" w:type="dxa"/>
            <w:noWrap w:val="0"/>
            <w:vAlign w:val="top"/>
          </w:tcPr>
          <w:p w14:paraId="3F746F99">
            <w:pPr>
              <w:pStyle w:val="2"/>
              <w:spacing w:before="0" w:after="0" w:line="360" w:lineRule="auto"/>
              <w:rPr>
                <w:rFonts w:hint="eastAsia" w:ascii="宋体" w:hAnsi="宋体" w:eastAsia="宋体" w:cs="宋体"/>
                <w:sz w:val="24"/>
                <w:szCs w:val="24"/>
                <w:highlight w:val="none"/>
              </w:rPr>
            </w:pPr>
          </w:p>
        </w:tc>
        <w:tc>
          <w:tcPr>
            <w:tcW w:w="808" w:type="dxa"/>
            <w:noWrap w:val="0"/>
            <w:vAlign w:val="top"/>
          </w:tcPr>
          <w:p w14:paraId="1D022C00">
            <w:pPr>
              <w:pStyle w:val="2"/>
              <w:spacing w:before="0" w:after="0" w:line="360" w:lineRule="auto"/>
              <w:rPr>
                <w:rFonts w:hint="eastAsia" w:ascii="宋体" w:hAnsi="宋体" w:eastAsia="宋体" w:cs="宋体"/>
                <w:sz w:val="24"/>
                <w:szCs w:val="24"/>
                <w:highlight w:val="none"/>
              </w:rPr>
            </w:pPr>
          </w:p>
        </w:tc>
        <w:tc>
          <w:tcPr>
            <w:tcW w:w="717" w:type="dxa"/>
            <w:noWrap w:val="0"/>
            <w:vAlign w:val="top"/>
          </w:tcPr>
          <w:p w14:paraId="701BC5DB">
            <w:pPr>
              <w:pStyle w:val="2"/>
              <w:spacing w:before="0" w:after="0" w:line="360" w:lineRule="auto"/>
              <w:rPr>
                <w:rFonts w:hint="eastAsia" w:ascii="宋体" w:hAnsi="宋体" w:eastAsia="宋体" w:cs="宋体"/>
                <w:sz w:val="24"/>
                <w:szCs w:val="24"/>
                <w:highlight w:val="none"/>
              </w:rPr>
            </w:pPr>
          </w:p>
        </w:tc>
        <w:tc>
          <w:tcPr>
            <w:tcW w:w="730" w:type="dxa"/>
            <w:noWrap w:val="0"/>
            <w:vAlign w:val="top"/>
          </w:tcPr>
          <w:p w14:paraId="56498A8D">
            <w:pPr>
              <w:pStyle w:val="2"/>
              <w:spacing w:before="0" w:after="0" w:line="360" w:lineRule="auto"/>
              <w:rPr>
                <w:rFonts w:hint="eastAsia" w:ascii="宋体" w:hAnsi="宋体" w:eastAsia="宋体" w:cs="宋体"/>
                <w:sz w:val="24"/>
                <w:szCs w:val="24"/>
                <w:highlight w:val="none"/>
              </w:rPr>
            </w:pPr>
          </w:p>
        </w:tc>
        <w:tc>
          <w:tcPr>
            <w:tcW w:w="1060" w:type="dxa"/>
            <w:noWrap w:val="0"/>
            <w:vAlign w:val="top"/>
          </w:tcPr>
          <w:p w14:paraId="001F451B">
            <w:pPr>
              <w:pStyle w:val="2"/>
              <w:spacing w:before="0" w:after="0" w:line="360" w:lineRule="auto"/>
              <w:rPr>
                <w:rFonts w:hint="eastAsia" w:ascii="宋体" w:hAnsi="宋体" w:eastAsia="宋体" w:cs="宋体"/>
                <w:sz w:val="24"/>
                <w:szCs w:val="24"/>
                <w:highlight w:val="none"/>
              </w:rPr>
            </w:pPr>
          </w:p>
        </w:tc>
        <w:tc>
          <w:tcPr>
            <w:tcW w:w="1461" w:type="dxa"/>
            <w:noWrap w:val="0"/>
            <w:vAlign w:val="top"/>
          </w:tcPr>
          <w:p w14:paraId="72A77B02">
            <w:pPr>
              <w:pStyle w:val="2"/>
              <w:spacing w:before="0" w:after="0" w:line="360" w:lineRule="auto"/>
              <w:rPr>
                <w:rFonts w:hint="eastAsia" w:ascii="宋体" w:hAnsi="宋体" w:eastAsia="宋体" w:cs="宋体"/>
                <w:sz w:val="24"/>
                <w:szCs w:val="24"/>
                <w:highlight w:val="none"/>
              </w:rPr>
            </w:pPr>
          </w:p>
        </w:tc>
      </w:tr>
      <w:tr w14:paraId="1E0AA5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1" w:type="dxa"/>
            <w:noWrap w:val="0"/>
            <w:vAlign w:val="top"/>
          </w:tcPr>
          <w:p w14:paraId="3759E3A8">
            <w:pPr>
              <w:pStyle w:val="2"/>
              <w:spacing w:before="0" w:after="0" w:line="360" w:lineRule="auto"/>
              <w:rPr>
                <w:rFonts w:hint="eastAsia" w:ascii="宋体" w:hAnsi="宋体" w:eastAsia="宋体" w:cs="宋体"/>
                <w:sz w:val="24"/>
                <w:szCs w:val="24"/>
                <w:highlight w:val="none"/>
              </w:rPr>
            </w:pPr>
          </w:p>
        </w:tc>
        <w:tc>
          <w:tcPr>
            <w:tcW w:w="1703" w:type="dxa"/>
            <w:noWrap w:val="0"/>
            <w:vAlign w:val="top"/>
          </w:tcPr>
          <w:p w14:paraId="646BD412">
            <w:pPr>
              <w:pStyle w:val="2"/>
              <w:spacing w:before="0" w:after="0" w:line="360" w:lineRule="auto"/>
              <w:rPr>
                <w:rFonts w:hint="eastAsia" w:ascii="宋体" w:hAnsi="宋体" w:eastAsia="宋体" w:cs="宋体"/>
                <w:sz w:val="24"/>
                <w:szCs w:val="24"/>
                <w:highlight w:val="none"/>
              </w:rPr>
            </w:pPr>
          </w:p>
        </w:tc>
        <w:tc>
          <w:tcPr>
            <w:tcW w:w="761" w:type="dxa"/>
            <w:noWrap w:val="0"/>
            <w:vAlign w:val="top"/>
          </w:tcPr>
          <w:p w14:paraId="0D7979D0">
            <w:pPr>
              <w:pStyle w:val="2"/>
              <w:spacing w:before="0" w:after="0" w:line="360" w:lineRule="auto"/>
              <w:rPr>
                <w:rFonts w:hint="eastAsia" w:ascii="宋体" w:hAnsi="宋体" w:eastAsia="宋体" w:cs="宋体"/>
                <w:sz w:val="24"/>
                <w:szCs w:val="24"/>
                <w:highlight w:val="none"/>
              </w:rPr>
            </w:pPr>
          </w:p>
        </w:tc>
        <w:tc>
          <w:tcPr>
            <w:tcW w:w="1481" w:type="dxa"/>
            <w:noWrap w:val="0"/>
            <w:vAlign w:val="top"/>
          </w:tcPr>
          <w:p w14:paraId="48B04420">
            <w:pPr>
              <w:pStyle w:val="2"/>
              <w:spacing w:before="0" w:after="0" w:line="360" w:lineRule="auto"/>
              <w:rPr>
                <w:rFonts w:hint="eastAsia" w:ascii="宋体" w:hAnsi="宋体" w:eastAsia="宋体" w:cs="宋体"/>
                <w:sz w:val="24"/>
                <w:szCs w:val="24"/>
                <w:highlight w:val="none"/>
              </w:rPr>
            </w:pPr>
          </w:p>
        </w:tc>
        <w:tc>
          <w:tcPr>
            <w:tcW w:w="808" w:type="dxa"/>
            <w:noWrap w:val="0"/>
            <w:vAlign w:val="top"/>
          </w:tcPr>
          <w:p w14:paraId="5316095A">
            <w:pPr>
              <w:pStyle w:val="2"/>
              <w:spacing w:before="0" w:after="0" w:line="360" w:lineRule="auto"/>
              <w:rPr>
                <w:rFonts w:hint="eastAsia" w:ascii="宋体" w:hAnsi="宋体" w:eastAsia="宋体" w:cs="宋体"/>
                <w:sz w:val="24"/>
                <w:szCs w:val="24"/>
                <w:highlight w:val="none"/>
              </w:rPr>
            </w:pPr>
          </w:p>
        </w:tc>
        <w:tc>
          <w:tcPr>
            <w:tcW w:w="717" w:type="dxa"/>
            <w:noWrap w:val="0"/>
            <w:vAlign w:val="top"/>
          </w:tcPr>
          <w:p w14:paraId="34C04F46">
            <w:pPr>
              <w:pStyle w:val="2"/>
              <w:spacing w:before="0" w:after="0" w:line="360" w:lineRule="auto"/>
              <w:rPr>
                <w:rFonts w:hint="eastAsia" w:ascii="宋体" w:hAnsi="宋体" w:eastAsia="宋体" w:cs="宋体"/>
                <w:sz w:val="24"/>
                <w:szCs w:val="24"/>
                <w:highlight w:val="none"/>
              </w:rPr>
            </w:pPr>
          </w:p>
        </w:tc>
        <w:tc>
          <w:tcPr>
            <w:tcW w:w="730" w:type="dxa"/>
            <w:noWrap w:val="0"/>
            <w:vAlign w:val="top"/>
          </w:tcPr>
          <w:p w14:paraId="30327C91">
            <w:pPr>
              <w:pStyle w:val="2"/>
              <w:spacing w:before="0" w:after="0" w:line="360" w:lineRule="auto"/>
              <w:rPr>
                <w:rFonts w:hint="eastAsia" w:ascii="宋体" w:hAnsi="宋体" w:eastAsia="宋体" w:cs="宋体"/>
                <w:sz w:val="24"/>
                <w:szCs w:val="24"/>
                <w:highlight w:val="none"/>
              </w:rPr>
            </w:pPr>
          </w:p>
        </w:tc>
        <w:tc>
          <w:tcPr>
            <w:tcW w:w="1060" w:type="dxa"/>
            <w:noWrap w:val="0"/>
            <w:vAlign w:val="top"/>
          </w:tcPr>
          <w:p w14:paraId="22158F86">
            <w:pPr>
              <w:pStyle w:val="2"/>
              <w:spacing w:before="0" w:after="0" w:line="360" w:lineRule="auto"/>
              <w:rPr>
                <w:rFonts w:hint="eastAsia" w:ascii="宋体" w:hAnsi="宋体" w:eastAsia="宋体" w:cs="宋体"/>
                <w:sz w:val="24"/>
                <w:szCs w:val="24"/>
                <w:highlight w:val="none"/>
              </w:rPr>
            </w:pPr>
          </w:p>
        </w:tc>
        <w:tc>
          <w:tcPr>
            <w:tcW w:w="1461" w:type="dxa"/>
            <w:noWrap w:val="0"/>
            <w:vAlign w:val="top"/>
          </w:tcPr>
          <w:p w14:paraId="33D16DE6">
            <w:pPr>
              <w:pStyle w:val="2"/>
              <w:spacing w:before="0" w:after="0" w:line="360" w:lineRule="auto"/>
              <w:rPr>
                <w:rFonts w:hint="eastAsia" w:ascii="宋体" w:hAnsi="宋体" w:eastAsia="宋体" w:cs="宋体"/>
                <w:sz w:val="24"/>
                <w:szCs w:val="24"/>
                <w:highlight w:val="none"/>
              </w:rPr>
            </w:pPr>
          </w:p>
        </w:tc>
      </w:tr>
      <w:tr w14:paraId="10C11A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1" w:type="dxa"/>
            <w:noWrap w:val="0"/>
            <w:vAlign w:val="top"/>
          </w:tcPr>
          <w:p w14:paraId="593D5D6A">
            <w:pPr>
              <w:pStyle w:val="2"/>
              <w:spacing w:before="0" w:after="0" w:line="360" w:lineRule="auto"/>
              <w:rPr>
                <w:rFonts w:hint="eastAsia" w:ascii="宋体" w:hAnsi="宋体" w:eastAsia="宋体" w:cs="宋体"/>
                <w:sz w:val="24"/>
                <w:szCs w:val="24"/>
                <w:highlight w:val="none"/>
              </w:rPr>
            </w:pPr>
          </w:p>
        </w:tc>
        <w:tc>
          <w:tcPr>
            <w:tcW w:w="1703" w:type="dxa"/>
            <w:noWrap w:val="0"/>
            <w:vAlign w:val="top"/>
          </w:tcPr>
          <w:p w14:paraId="6885EC09">
            <w:pPr>
              <w:pStyle w:val="2"/>
              <w:spacing w:before="0" w:after="0" w:line="360" w:lineRule="auto"/>
              <w:rPr>
                <w:rFonts w:hint="eastAsia" w:ascii="宋体" w:hAnsi="宋体" w:eastAsia="宋体" w:cs="宋体"/>
                <w:sz w:val="24"/>
                <w:szCs w:val="24"/>
                <w:highlight w:val="none"/>
              </w:rPr>
            </w:pPr>
          </w:p>
        </w:tc>
        <w:tc>
          <w:tcPr>
            <w:tcW w:w="761" w:type="dxa"/>
            <w:noWrap w:val="0"/>
            <w:vAlign w:val="top"/>
          </w:tcPr>
          <w:p w14:paraId="76DA7783">
            <w:pPr>
              <w:pStyle w:val="2"/>
              <w:spacing w:before="0" w:after="0" w:line="360" w:lineRule="auto"/>
              <w:rPr>
                <w:rFonts w:hint="eastAsia" w:ascii="宋体" w:hAnsi="宋体" w:eastAsia="宋体" w:cs="宋体"/>
                <w:sz w:val="24"/>
                <w:szCs w:val="24"/>
                <w:highlight w:val="none"/>
              </w:rPr>
            </w:pPr>
          </w:p>
        </w:tc>
        <w:tc>
          <w:tcPr>
            <w:tcW w:w="1481" w:type="dxa"/>
            <w:noWrap w:val="0"/>
            <w:vAlign w:val="top"/>
          </w:tcPr>
          <w:p w14:paraId="657BDD39">
            <w:pPr>
              <w:pStyle w:val="2"/>
              <w:spacing w:before="0" w:after="0" w:line="360" w:lineRule="auto"/>
              <w:rPr>
                <w:rFonts w:hint="eastAsia" w:ascii="宋体" w:hAnsi="宋体" w:eastAsia="宋体" w:cs="宋体"/>
                <w:sz w:val="24"/>
                <w:szCs w:val="24"/>
                <w:highlight w:val="none"/>
              </w:rPr>
            </w:pPr>
          </w:p>
        </w:tc>
        <w:tc>
          <w:tcPr>
            <w:tcW w:w="808" w:type="dxa"/>
            <w:noWrap w:val="0"/>
            <w:vAlign w:val="top"/>
          </w:tcPr>
          <w:p w14:paraId="7749E0CC">
            <w:pPr>
              <w:pStyle w:val="2"/>
              <w:spacing w:before="0" w:after="0" w:line="360" w:lineRule="auto"/>
              <w:rPr>
                <w:rFonts w:hint="eastAsia" w:ascii="宋体" w:hAnsi="宋体" w:eastAsia="宋体" w:cs="宋体"/>
                <w:sz w:val="24"/>
                <w:szCs w:val="24"/>
                <w:highlight w:val="none"/>
              </w:rPr>
            </w:pPr>
          </w:p>
        </w:tc>
        <w:tc>
          <w:tcPr>
            <w:tcW w:w="717" w:type="dxa"/>
            <w:noWrap w:val="0"/>
            <w:vAlign w:val="top"/>
          </w:tcPr>
          <w:p w14:paraId="097BC3A6">
            <w:pPr>
              <w:pStyle w:val="2"/>
              <w:spacing w:before="0" w:after="0" w:line="360" w:lineRule="auto"/>
              <w:rPr>
                <w:rFonts w:hint="eastAsia" w:ascii="宋体" w:hAnsi="宋体" w:eastAsia="宋体" w:cs="宋体"/>
                <w:sz w:val="24"/>
                <w:szCs w:val="24"/>
                <w:highlight w:val="none"/>
              </w:rPr>
            </w:pPr>
          </w:p>
        </w:tc>
        <w:tc>
          <w:tcPr>
            <w:tcW w:w="730" w:type="dxa"/>
            <w:noWrap w:val="0"/>
            <w:vAlign w:val="top"/>
          </w:tcPr>
          <w:p w14:paraId="738AAD48">
            <w:pPr>
              <w:pStyle w:val="2"/>
              <w:spacing w:before="0" w:after="0" w:line="360" w:lineRule="auto"/>
              <w:rPr>
                <w:rFonts w:hint="eastAsia" w:ascii="宋体" w:hAnsi="宋体" w:eastAsia="宋体" w:cs="宋体"/>
                <w:sz w:val="24"/>
                <w:szCs w:val="24"/>
                <w:highlight w:val="none"/>
              </w:rPr>
            </w:pPr>
          </w:p>
        </w:tc>
        <w:tc>
          <w:tcPr>
            <w:tcW w:w="1060" w:type="dxa"/>
            <w:noWrap w:val="0"/>
            <w:vAlign w:val="top"/>
          </w:tcPr>
          <w:p w14:paraId="61E83417">
            <w:pPr>
              <w:pStyle w:val="2"/>
              <w:spacing w:before="0" w:after="0" w:line="360" w:lineRule="auto"/>
              <w:rPr>
                <w:rFonts w:hint="eastAsia" w:ascii="宋体" w:hAnsi="宋体" w:eastAsia="宋体" w:cs="宋体"/>
                <w:sz w:val="24"/>
                <w:szCs w:val="24"/>
                <w:highlight w:val="none"/>
              </w:rPr>
            </w:pPr>
          </w:p>
        </w:tc>
        <w:tc>
          <w:tcPr>
            <w:tcW w:w="1461" w:type="dxa"/>
            <w:noWrap w:val="0"/>
            <w:vAlign w:val="top"/>
          </w:tcPr>
          <w:p w14:paraId="09E899BF">
            <w:pPr>
              <w:pStyle w:val="2"/>
              <w:spacing w:before="0" w:after="0" w:line="360" w:lineRule="auto"/>
              <w:rPr>
                <w:rFonts w:hint="eastAsia" w:ascii="宋体" w:hAnsi="宋体" w:eastAsia="宋体" w:cs="宋体"/>
                <w:sz w:val="24"/>
                <w:szCs w:val="24"/>
                <w:highlight w:val="none"/>
              </w:rPr>
            </w:pPr>
          </w:p>
        </w:tc>
      </w:tr>
      <w:tr w14:paraId="4F10EE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1" w:type="dxa"/>
            <w:noWrap w:val="0"/>
            <w:vAlign w:val="top"/>
          </w:tcPr>
          <w:p w14:paraId="448DAF87">
            <w:pPr>
              <w:pStyle w:val="2"/>
              <w:spacing w:before="0" w:after="0" w:line="360" w:lineRule="auto"/>
              <w:rPr>
                <w:rFonts w:hint="eastAsia" w:ascii="宋体" w:hAnsi="宋体" w:eastAsia="宋体" w:cs="宋体"/>
                <w:sz w:val="24"/>
                <w:szCs w:val="24"/>
                <w:highlight w:val="none"/>
              </w:rPr>
            </w:pPr>
          </w:p>
        </w:tc>
        <w:tc>
          <w:tcPr>
            <w:tcW w:w="1703" w:type="dxa"/>
            <w:noWrap w:val="0"/>
            <w:vAlign w:val="center"/>
          </w:tcPr>
          <w:p w14:paraId="1D1AEC7F">
            <w:pPr>
              <w:pStyle w:val="2"/>
              <w:spacing w:before="0" w:after="0" w:line="360" w:lineRule="auto"/>
              <w:ind w:firstLine="354" w:firstLineChars="147"/>
              <w:rPr>
                <w:rFonts w:hint="eastAsia" w:ascii="宋体" w:hAnsi="宋体" w:eastAsia="宋体" w:cs="宋体"/>
                <w:sz w:val="24"/>
                <w:szCs w:val="24"/>
                <w:highlight w:val="none"/>
              </w:rPr>
            </w:pPr>
            <w:bookmarkStart w:id="14" w:name="_Toc13034"/>
            <w:r>
              <w:rPr>
                <w:rFonts w:hint="eastAsia" w:ascii="宋体" w:hAnsi="宋体" w:eastAsia="宋体" w:cs="宋体"/>
                <w:sz w:val="24"/>
                <w:szCs w:val="24"/>
                <w:highlight w:val="none"/>
              </w:rPr>
              <w:t>合计</w:t>
            </w:r>
            <w:bookmarkEnd w:id="14"/>
          </w:p>
        </w:tc>
        <w:tc>
          <w:tcPr>
            <w:tcW w:w="4497" w:type="dxa"/>
            <w:gridSpan w:val="5"/>
            <w:noWrap w:val="0"/>
            <w:vAlign w:val="center"/>
          </w:tcPr>
          <w:p w14:paraId="6A3AD597">
            <w:pPr>
              <w:pStyle w:val="2"/>
              <w:spacing w:before="0" w:after="0" w:line="360" w:lineRule="auto"/>
              <w:rPr>
                <w:rFonts w:hint="eastAsia" w:ascii="宋体" w:hAnsi="宋体" w:eastAsia="宋体" w:cs="宋体"/>
                <w:sz w:val="24"/>
                <w:szCs w:val="24"/>
                <w:highlight w:val="none"/>
              </w:rPr>
            </w:pPr>
            <w:bookmarkStart w:id="15" w:name="_Toc30968"/>
            <w:r>
              <w:rPr>
                <w:rFonts w:hint="eastAsia" w:ascii="宋体" w:hAnsi="宋体" w:eastAsia="宋体" w:cs="宋体"/>
                <w:sz w:val="24"/>
                <w:szCs w:val="24"/>
                <w:highlight w:val="none"/>
              </w:rPr>
              <w:t>大写</w:t>
            </w:r>
            <w:bookmarkEnd w:id="15"/>
          </w:p>
        </w:tc>
        <w:tc>
          <w:tcPr>
            <w:tcW w:w="2521" w:type="dxa"/>
            <w:gridSpan w:val="2"/>
            <w:noWrap w:val="0"/>
            <w:vAlign w:val="center"/>
          </w:tcPr>
          <w:p w14:paraId="6BB88F64">
            <w:pPr>
              <w:pStyle w:val="2"/>
              <w:spacing w:before="0" w:after="0" w:line="360" w:lineRule="auto"/>
              <w:rPr>
                <w:rFonts w:hint="eastAsia" w:ascii="宋体" w:hAnsi="宋体" w:eastAsia="宋体" w:cs="宋体"/>
                <w:sz w:val="24"/>
                <w:szCs w:val="24"/>
                <w:highlight w:val="none"/>
              </w:rPr>
            </w:pPr>
            <w:bookmarkStart w:id="16" w:name="_Toc6784"/>
            <w:r>
              <w:rPr>
                <w:rFonts w:hint="eastAsia" w:ascii="宋体" w:hAnsi="宋体" w:eastAsia="宋体" w:cs="宋体"/>
                <w:sz w:val="24"/>
                <w:szCs w:val="24"/>
                <w:highlight w:val="none"/>
              </w:rPr>
              <w:t>￥</w:t>
            </w:r>
            <w:bookmarkEnd w:id="16"/>
          </w:p>
        </w:tc>
      </w:tr>
      <w:tr w14:paraId="64C129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1" w:type="dxa"/>
            <w:noWrap w:val="0"/>
            <w:vAlign w:val="top"/>
          </w:tcPr>
          <w:p w14:paraId="5FA9AD22">
            <w:pPr>
              <w:pStyle w:val="2"/>
              <w:spacing w:before="0" w:after="0" w:line="360" w:lineRule="auto"/>
              <w:rPr>
                <w:rFonts w:hint="eastAsia" w:ascii="宋体" w:hAnsi="宋体" w:eastAsia="宋体" w:cs="宋体"/>
                <w:sz w:val="24"/>
                <w:szCs w:val="24"/>
                <w:highlight w:val="none"/>
              </w:rPr>
            </w:pPr>
          </w:p>
        </w:tc>
        <w:tc>
          <w:tcPr>
            <w:tcW w:w="1703" w:type="dxa"/>
            <w:noWrap w:val="0"/>
            <w:vAlign w:val="center"/>
          </w:tcPr>
          <w:p w14:paraId="585170E4">
            <w:pPr>
              <w:pStyle w:val="2"/>
              <w:spacing w:before="0" w:after="0" w:line="360" w:lineRule="auto"/>
              <w:rPr>
                <w:rFonts w:hint="eastAsia" w:ascii="宋体" w:hAnsi="宋体" w:eastAsia="宋体" w:cs="宋体"/>
                <w:sz w:val="24"/>
                <w:szCs w:val="24"/>
                <w:highlight w:val="none"/>
                <w:lang w:eastAsia="zh-CN"/>
              </w:rPr>
            </w:pPr>
            <w:bookmarkStart w:id="17" w:name="_Toc22276"/>
            <w:r>
              <w:rPr>
                <w:rFonts w:hint="eastAsia" w:ascii="宋体" w:hAnsi="宋体" w:eastAsia="宋体" w:cs="宋体"/>
                <w:sz w:val="24"/>
                <w:szCs w:val="24"/>
                <w:highlight w:val="none"/>
                <w:lang w:eastAsia="zh-CN"/>
              </w:rPr>
              <w:t>供货安装周期</w:t>
            </w:r>
            <w:bookmarkEnd w:id="17"/>
          </w:p>
        </w:tc>
        <w:tc>
          <w:tcPr>
            <w:tcW w:w="4497" w:type="dxa"/>
            <w:gridSpan w:val="5"/>
            <w:noWrap w:val="0"/>
            <w:vAlign w:val="center"/>
          </w:tcPr>
          <w:p w14:paraId="295C7C9B">
            <w:pPr>
              <w:pStyle w:val="2"/>
              <w:spacing w:before="0" w:after="0" w:line="360" w:lineRule="auto"/>
              <w:rPr>
                <w:rFonts w:hint="eastAsia" w:ascii="宋体" w:hAnsi="宋体" w:eastAsia="宋体" w:cs="宋体"/>
                <w:sz w:val="24"/>
                <w:szCs w:val="24"/>
                <w:highlight w:val="none"/>
              </w:rPr>
            </w:pPr>
          </w:p>
        </w:tc>
        <w:tc>
          <w:tcPr>
            <w:tcW w:w="2521" w:type="dxa"/>
            <w:gridSpan w:val="2"/>
            <w:noWrap w:val="0"/>
            <w:vAlign w:val="center"/>
          </w:tcPr>
          <w:p w14:paraId="2077A590">
            <w:pPr>
              <w:pStyle w:val="2"/>
              <w:spacing w:before="0" w:after="0" w:line="360" w:lineRule="auto"/>
              <w:rPr>
                <w:rFonts w:hint="eastAsia" w:ascii="宋体" w:hAnsi="宋体" w:eastAsia="宋体" w:cs="宋体"/>
                <w:sz w:val="24"/>
                <w:szCs w:val="24"/>
                <w:highlight w:val="none"/>
              </w:rPr>
            </w:pPr>
          </w:p>
        </w:tc>
      </w:tr>
      <w:tr w14:paraId="55436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1" w:type="dxa"/>
            <w:noWrap w:val="0"/>
            <w:vAlign w:val="top"/>
          </w:tcPr>
          <w:p w14:paraId="7B54BCCC">
            <w:pPr>
              <w:pStyle w:val="2"/>
              <w:spacing w:before="0" w:after="0" w:line="360" w:lineRule="auto"/>
              <w:rPr>
                <w:rFonts w:hint="eastAsia" w:ascii="宋体" w:hAnsi="宋体" w:eastAsia="宋体" w:cs="宋体"/>
                <w:sz w:val="24"/>
                <w:szCs w:val="24"/>
                <w:highlight w:val="none"/>
              </w:rPr>
            </w:pPr>
          </w:p>
        </w:tc>
        <w:tc>
          <w:tcPr>
            <w:tcW w:w="1703" w:type="dxa"/>
            <w:noWrap w:val="0"/>
            <w:vAlign w:val="center"/>
          </w:tcPr>
          <w:p w14:paraId="4A2C3147">
            <w:pPr>
              <w:pStyle w:val="2"/>
              <w:spacing w:before="0" w:after="0" w:line="360" w:lineRule="auto"/>
              <w:rPr>
                <w:rFonts w:hint="eastAsia" w:ascii="宋体" w:hAnsi="宋体" w:eastAsia="宋体" w:cs="宋体"/>
                <w:sz w:val="24"/>
                <w:szCs w:val="24"/>
                <w:highlight w:val="none"/>
                <w:lang w:eastAsia="zh-CN"/>
              </w:rPr>
            </w:pPr>
            <w:bookmarkStart w:id="18" w:name="_Toc2451"/>
            <w:r>
              <w:rPr>
                <w:rFonts w:hint="eastAsia" w:ascii="宋体" w:hAnsi="宋体" w:eastAsia="宋体" w:cs="宋体"/>
                <w:sz w:val="24"/>
                <w:szCs w:val="24"/>
                <w:highlight w:val="none"/>
                <w:lang w:eastAsia="zh-CN"/>
              </w:rPr>
              <w:t>质量</w:t>
            </w:r>
            <w:bookmarkEnd w:id="18"/>
          </w:p>
        </w:tc>
        <w:tc>
          <w:tcPr>
            <w:tcW w:w="4497" w:type="dxa"/>
            <w:gridSpan w:val="5"/>
            <w:noWrap w:val="0"/>
            <w:vAlign w:val="center"/>
          </w:tcPr>
          <w:p w14:paraId="69018BC5">
            <w:pPr>
              <w:pStyle w:val="2"/>
              <w:spacing w:before="0" w:after="0" w:line="360" w:lineRule="auto"/>
              <w:rPr>
                <w:rFonts w:hint="eastAsia" w:ascii="宋体" w:hAnsi="宋体" w:eastAsia="宋体" w:cs="宋体"/>
                <w:sz w:val="24"/>
                <w:szCs w:val="24"/>
                <w:highlight w:val="none"/>
              </w:rPr>
            </w:pPr>
          </w:p>
        </w:tc>
        <w:tc>
          <w:tcPr>
            <w:tcW w:w="2521" w:type="dxa"/>
            <w:gridSpan w:val="2"/>
            <w:noWrap w:val="0"/>
            <w:vAlign w:val="center"/>
          </w:tcPr>
          <w:p w14:paraId="206773A5">
            <w:pPr>
              <w:pStyle w:val="2"/>
              <w:spacing w:before="0" w:after="0" w:line="360" w:lineRule="auto"/>
              <w:rPr>
                <w:rFonts w:hint="eastAsia" w:ascii="宋体" w:hAnsi="宋体" w:eastAsia="宋体" w:cs="宋体"/>
                <w:sz w:val="24"/>
                <w:szCs w:val="24"/>
                <w:highlight w:val="none"/>
              </w:rPr>
            </w:pPr>
          </w:p>
        </w:tc>
      </w:tr>
      <w:tr w14:paraId="50E11D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1" w:type="dxa"/>
            <w:noWrap w:val="0"/>
            <w:vAlign w:val="top"/>
          </w:tcPr>
          <w:p w14:paraId="49E649C2">
            <w:pPr>
              <w:pStyle w:val="2"/>
              <w:spacing w:before="0" w:after="0" w:line="360" w:lineRule="auto"/>
              <w:rPr>
                <w:rFonts w:hint="eastAsia" w:ascii="宋体" w:hAnsi="宋体" w:eastAsia="宋体" w:cs="宋体"/>
                <w:sz w:val="24"/>
                <w:szCs w:val="24"/>
                <w:highlight w:val="none"/>
              </w:rPr>
            </w:pPr>
          </w:p>
        </w:tc>
        <w:tc>
          <w:tcPr>
            <w:tcW w:w="1703" w:type="dxa"/>
            <w:noWrap w:val="0"/>
            <w:vAlign w:val="center"/>
          </w:tcPr>
          <w:p w14:paraId="1EC61208">
            <w:pPr>
              <w:pStyle w:val="2"/>
              <w:spacing w:before="0" w:after="0" w:line="360" w:lineRule="auto"/>
              <w:rPr>
                <w:rFonts w:hint="eastAsia" w:ascii="宋体" w:hAnsi="宋体" w:eastAsia="宋体" w:cs="宋体"/>
                <w:sz w:val="24"/>
                <w:szCs w:val="24"/>
                <w:highlight w:val="none"/>
                <w:lang w:eastAsia="zh-CN"/>
              </w:rPr>
            </w:pPr>
            <w:bookmarkStart w:id="19" w:name="_Toc5954"/>
            <w:r>
              <w:rPr>
                <w:rFonts w:hint="eastAsia" w:ascii="宋体" w:hAnsi="宋体" w:eastAsia="宋体" w:cs="宋体"/>
                <w:sz w:val="24"/>
                <w:szCs w:val="24"/>
                <w:highlight w:val="none"/>
                <w:lang w:eastAsia="zh-CN"/>
              </w:rPr>
              <w:t>质保期</w:t>
            </w:r>
            <w:bookmarkEnd w:id="19"/>
          </w:p>
        </w:tc>
        <w:tc>
          <w:tcPr>
            <w:tcW w:w="4497" w:type="dxa"/>
            <w:gridSpan w:val="5"/>
            <w:noWrap w:val="0"/>
            <w:vAlign w:val="center"/>
          </w:tcPr>
          <w:p w14:paraId="6CBB3195">
            <w:pPr>
              <w:pStyle w:val="2"/>
              <w:spacing w:before="0" w:after="0" w:line="360" w:lineRule="auto"/>
              <w:rPr>
                <w:rFonts w:hint="eastAsia" w:ascii="宋体" w:hAnsi="宋体" w:eastAsia="宋体" w:cs="宋体"/>
                <w:sz w:val="24"/>
                <w:szCs w:val="24"/>
                <w:highlight w:val="none"/>
              </w:rPr>
            </w:pPr>
          </w:p>
        </w:tc>
        <w:tc>
          <w:tcPr>
            <w:tcW w:w="2521" w:type="dxa"/>
            <w:gridSpan w:val="2"/>
            <w:noWrap w:val="0"/>
            <w:vAlign w:val="center"/>
          </w:tcPr>
          <w:p w14:paraId="31310629">
            <w:pPr>
              <w:pStyle w:val="2"/>
              <w:spacing w:before="0" w:after="0" w:line="360" w:lineRule="auto"/>
              <w:rPr>
                <w:rFonts w:hint="eastAsia" w:ascii="宋体" w:hAnsi="宋体" w:eastAsia="宋体" w:cs="宋体"/>
                <w:sz w:val="24"/>
                <w:szCs w:val="24"/>
                <w:highlight w:val="none"/>
              </w:rPr>
            </w:pPr>
          </w:p>
        </w:tc>
      </w:tr>
    </w:tbl>
    <w:p w14:paraId="0B658CD7">
      <w:pPr>
        <w:rPr>
          <w:rFonts w:hint="eastAsia" w:ascii="宋体" w:hAnsi="宋体" w:eastAsia="宋体" w:cs="宋体"/>
          <w:b/>
          <w:sz w:val="24"/>
          <w:highlight w:val="none"/>
        </w:rPr>
      </w:pPr>
    </w:p>
    <w:p w14:paraId="21BF41BE">
      <w:pPr>
        <w:pStyle w:val="8"/>
        <w:spacing w:before="120" w:beforeLines="50" w:line="360" w:lineRule="auto"/>
        <w:ind w:firstLine="480"/>
        <w:rPr>
          <w:rFonts w:hint="eastAsia" w:ascii="宋体" w:hAnsi="宋体" w:eastAsia="宋体" w:cs="宋体"/>
          <w:b/>
          <w:highlight w:val="none"/>
        </w:rPr>
      </w:pPr>
      <w:r>
        <w:rPr>
          <w:rFonts w:hint="eastAsia" w:ascii="宋体" w:hAnsi="宋体" w:eastAsia="宋体" w:cs="宋体"/>
          <w:highlight w:val="none"/>
        </w:rPr>
        <w:t>2、交付的货物技术规格、型号、数量与</w:t>
      </w:r>
      <w:r>
        <w:rPr>
          <w:rFonts w:hint="eastAsia" w:ascii="宋体" w:hAnsi="宋体" w:eastAsia="宋体" w:cs="宋体"/>
          <w:highlight w:val="none"/>
          <w:lang w:eastAsia="zh-CN"/>
        </w:rPr>
        <w:t>响应文件</w:t>
      </w:r>
      <w:r>
        <w:rPr>
          <w:rFonts w:hint="eastAsia" w:ascii="宋体" w:hAnsi="宋体" w:eastAsia="宋体" w:cs="宋体"/>
          <w:highlight w:val="none"/>
        </w:rPr>
        <w:t>所指明的一致。</w:t>
      </w:r>
    </w:p>
    <w:p w14:paraId="35F043E1">
      <w:pPr>
        <w:rPr>
          <w:rFonts w:hint="eastAsia" w:ascii="宋体" w:hAnsi="宋体" w:eastAsia="宋体" w:cs="宋体"/>
          <w:b/>
          <w:sz w:val="24"/>
          <w:highlight w:val="none"/>
        </w:rPr>
      </w:pPr>
    </w:p>
    <w:p w14:paraId="106CA8CC">
      <w:pPr>
        <w:spacing w:line="360" w:lineRule="auto"/>
        <w:ind w:firstLine="472" w:firstLineChars="196"/>
        <w:rPr>
          <w:rFonts w:hint="eastAsia" w:ascii="宋体" w:hAnsi="宋体" w:eastAsia="宋体" w:cs="宋体"/>
          <w:b/>
          <w:sz w:val="24"/>
          <w:highlight w:val="none"/>
        </w:rPr>
      </w:pPr>
      <w:bookmarkStart w:id="20" w:name="_Toc22575_WPSOffice_Level2"/>
      <w:bookmarkStart w:id="21" w:name="_Toc6570_WPSOffice_Level2"/>
      <w:bookmarkStart w:id="22" w:name="_Toc8070_WPSOffice_Level2"/>
      <w:r>
        <w:rPr>
          <w:rFonts w:hint="eastAsia" w:ascii="宋体" w:hAnsi="宋体" w:eastAsia="宋体" w:cs="宋体"/>
          <w:b/>
          <w:sz w:val="24"/>
          <w:highlight w:val="none"/>
        </w:rPr>
        <w:t>第二条  合同价款</w:t>
      </w:r>
      <w:bookmarkEnd w:id="20"/>
      <w:bookmarkEnd w:id="21"/>
      <w:bookmarkEnd w:id="22"/>
    </w:p>
    <w:p w14:paraId="2952D41E">
      <w:pPr>
        <w:spacing w:line="360" w:lineRule="auto"/>
        <w:ind w:firstLine="470" w:firstLineChars="196"/>
        <w:rPr>
          <w:rFonts w:hint="eastAsia" w:ascii="宋体" w:hAnsi="宋体" w:eastAsia="宋体" w:cs="宋体"/>
          <w:bCs/>
          <w:sz w:val="24"/>
          <w:highlight w:val="none"/>
        </w:rPr>
      </w:pPr>
      <w:r>
        <w:rPr>
          <w:rFonts w:hint="eastAsia" w:ascii="宋体" w:hAnsi="宋体" w:eastAsia="宋体" w:cs="宋体"/>
          <w:bCs/>
          <w:sz w:val="24"/>
          <w:highlight w:val="none"/>
        </w:rPr>
        <w:t>1、合同价款为人民币大写：</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元（小写：</w:t>
      </w:r>
      <w:r>
        <w:rPr>
          <w:rFonts w:hint="eastAsia" w:ascii="宋体" w:hAnsi="宋体" w:eastAsia="宋体" w:cs="宋体"/>
          <w:bCs/>
          <w:sz w:val="24"/>
          <w:highlight w:val="none"/>
          <w:u w:val="single"/>
        </w:rPr>
        <w:t xml:space="preserve">        </w:t>
      </w:r>
      <w:r>
        <w:rPr>
          <w:rFonts w:hint="eastAsia" w:ascii="宋体" w:hAnsi="宋体" w:eastAsia="宋体" w:cs="宋体"/>
          <w:bCs/>
          <w:sz w:val="24"/>
          <w:highlight w:val="none"/>
        </w:rPr>
        <w:t>元）。本项目合同价款采用总价合同，即成交供应商的投标具体内容及其中标总金额不受市场和工作量变化的影响。</w:t>
      </w:r>
    </w:p>
    <w:p w14:paraId="58310874">
      <w:pPr>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2、本合同价款是货物（产品）设计、材料、制造、包装、运输、安装、调试、检测、验收合格交付使用之前及保修期内保修服务与备用物件等其他有关各项的含税费用。</w:t>
      </w:r>
    </w:p>
    <w:p w14:paraId="6987EA1A">
      <w:pPr>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3、本合同价款还应包含乙方在采购中的采购服务费及售后服务费用。</w:t>
      </w:r>
    </w:p>
    <w:p w14:paraId="6FC86A06">
      <w:pPr>
        <w:spacing w:line="360" w:lineRule="auto"/>
        <w:ind w:firstLine="480" w:firstLineChars="200"/>
        <w:rPr>
          <w:rFonts w:hint="eastAsia" w:ascii="宋体" w:hAnsi="宋体" w:eastAsia="宋体" w:cs="宋体"/>
          <w:bCs/>
          <w:sz w:val="24"/>
          <w:highlight w:val="none"/>
        </w:rPr>
      </w:pPr>
      <w:r>
        <w:rPr>
          <w:rFonts w:hint="eastAsia" w:ascii="宋体" w:hAnsi="宋体" w:eastAsia="宋体" w:cs="宋体"/>
          <w:bCs/>
          <w:sz w:val="24"/>
          <w:highlight w:val="none"/>
        </w:rPr>
        <w:t>4、本合同执行期间合同价款不变，甲方无须另向乙方支付本合同规定之外的其他任何费用。</w:t>
      </w:r>
    </w:p>
    <w:p w14:paraId="48C7A0D4">
      <w:pPr>
        <w:spacing w:line="360" w:lineRule="auto"/>
        <w:ind w:firstLine="482" w:firstLineChars="200"/>
        <w:rPr>
          <w:rFonts w:hint="eastAsia" w:ascii="宋体" w:hAnsi="宋体" w:eastAsia="宋体" w:cs="宋体"/>
          <w:b/>
          <w:bCs/>
          <w:sz w:val="24"/>
          <w:highlight w:val="none"/>
        </w:rPr>
      </w:pPr>
      <w:bookmarkStart w:id="23" w:name="_Toc19584_WPSOffice_Level2"/>
      <w:bookmarkStart w:id="24" w:name="_Toc16444_WPSOffice_Level2"/>
      <w:bookmarkStart w:id="25" w:name="_Toc7227_WPSOffice_Level2"/>
      <w:r>
        <w:rPr>
          <w:rFonts w:hint="eastAsia" w:ascii="宋体" w:hAnsi="宋体" w:eastAsia="宋体" w:cs="宋体"/>
          <w:b/>
          <w:bCs/>
          <w:sz w:val="24"/>
          <w:highlight w:val="none"/>
        </w:rPr>
        <w:t>第三条  货款支付</w:t>
      </w:r>
      <w:bookmarkEnd w:id="23"/>
      <w:bookmarkEnd w:id="24"/>
      <w:bookmarkEnd w:id="25"/>
    </w:p>
    <w:p w14:paraId="07403CE0">
      <w:pPr>
        <w:pStyle w:val="8"/>
        <w:spacing w:line="360" w:lineRule="auto"/>
        <w:ind w:firstLine="480"/>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 xml:space="preserve">1、货物（产品）按下列比例支付价款：甲乙双方自行约定。                             </w:t>
      </w:r>
    </w:p>
    <w:p w14:paraId="4009EDC7">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2、乙方须向甲方出具合法有效的完税发票，甲方进行支付结算。</w:t>
      </w:r>
    </w:p>
    <w:p w14:paraId="18D1EEEC">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3、结算方式：银行转账。</w:t>
      </w:r>
    </w:p>
    <w:p w14:paraId="6C104F08">
      <w:pPr>
        <w:pStyle w:val="8"/>
        <w:spacing w:before="120" w:beforeLines="50" w:after="120" w:afterLines="50" w:line="360" w:lineRule="auto"/>
        <w:ind w:firstLine="482"/>
        <w:rPr>
          <w:rFonts w:hint="eastAsia" w:ascii="宋体" w:hAnsi="宋体" w:eastAsia="宋体" w:cs="宋体"/>
          <w:b/>
          <w:highlight w:val="none"/>
        </w:rPr>
      </w:pPr>
      <w:bookmarkStart w:id="26" w:name="_Toc17072_WPSOffice_Level2"/>
      <w:bookmarkStart w:id="27" w:name="_Toc17614_WPSOffice_Level2"/>
      <w:bookmarkStart w:id="28" w:name="_Toc1380_WPSOffice_Level2"/>
      <w:r>
        <w:rPr>
          <w:rFonts w:hint="eastAsia" w:ascii="宋体" w:hAnsi="宋体" w:eastAsia="宋体" w:cs="宋体"/>
          <w:b/>
          <w:highlight w:val="none"/>
        </w:rPr>
        <w:t>第四条 交货时间与地点</w:t>
      </w:r>
      <w:bookmarkEnd w:id="26"/>
      <w:bookmarkEnd w:id="27"/>
      <w:bookmarkEnd w:id="28"/>
    </w:p>
    <w:p w14:paraId="492A33FD">
      <w:pPr>
        <w:pStyle w:val="8"/>
        <w:spacing w:line="360" w:lineRule="auto"/>
        <w:ind w:firstLine="561" w:firstLineChars="0"/>
        <w:rPr>
          <w:rFonts w:hint="eastAsia" w:ascii="宋体" w:hAnsi="宋体" w:eastAsia="宋体" w:cs="宋体"/>
          <w:highlight w:val="none"/>
        </w:rPr>
      </w:pPr>
      <w:r>
        <w:rPr>
          <w:rFonts w:hint="eastAsia" w:ascii="宋体" w:hAnsi="宋体" w:eastAsia="宋体" w:cs="宋体"/>
          <w:highlight w:val="none"/>
        </w:rPr>
        <w:t>1、乙方在合同签订生效之日起，按甲方指定时间、地点交货。</w:t>
      </w:r>
    </w:p>
    <w:p w14:paraId="53BA04BC">
      <w:pPr>
        <w:pStyle w:val="8"/>
        <w:spacing w:line="360" w:lineRule="auto"/>
        <w:ind w:firstLine="561" w:firstLineChars="0"/>
        <w:rPr>
          <w:rFonts w:hint="eastAsia" w:ascii="宋体" w:hAnsi="宋体" w:eastAsia="宋体" w:cs="宋体"/>
          <w:highlight w:val="none"/>
        </w:rPr>
      </w:pPr>
      <w:bookmarkStart w:id="29" w:name="_Toc29670_WPSOffice_Level3"/>
      <w:r>
        <w:rPr>
          <w:rFonts w:hint="eastAsia" w:ascii="宋体" w:hAnsi="宋体" w:eastAsia="宋体" w:cs="宋体"/>
          <w:highlight w:val="none"/>
        </w:rPr>
        <w:t>1.1、交货时间（期限）：</w:t>
      </w:r>
      <w:bookmarkEnd w:id="29"/>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p>
    <w:p w14:paraId="7D62005A">
      <w:pPr>
        <w:pStyle w:val="8"/>
        <w:spacing w:line="360" w:lineRule="auto"/>
        <w:ind w:firstLine="561" w:firstLineChars="0"/>
        <w:rPr>
          <w:rFonts w:hint="eastAsia" w:ascii="宋体" w:hAnsi="宋体" w:eastAsia="宋体" w:cs="宋体"/>
          <w:highlight w:val="none"/>
          <w:u w:val="single"/>
        </w:rPr>
      </w:pPr>
      <w:bookmarkStart w:id="30" w:name="_Toc5979_WPSOffice_Level3"/>
      <w:r>
        <w:rPr>
          <w:rFonts w:hint="eastAsia" w:ascii="宋体" w:hAnsi="宋体" w:eastAsia="宋体" w:cs="宋体"/>
          <w:highlight w:val="none"/>
        </w:rPr>
        <w:t>1.2、交货地点：</w:t>
      </w:r>
      <w:bookmarkEnd w:id="30"/>
      <w:r>
        <w:rPr>
          <w:rFonts w:hint="eastAsia" w:ascii="宋体" w:hAnsi="宋体" w:eastAsia="宋体" w:cs="宋体"/>
          <w:highlight w:val="none"/>
          <w:u w:val="single"/>
        </w:rPr>
        <w:t xml:space="preserve">                    </w:t>
      </w:r>
    </w:p>
    <w:p w14:paraId="459CDCDC">
      <w:pPr>
        <w:pStyle w:val="8"/>
        <w:spacing w:line="360" w:lineRule="auto"/>
        <w:ind w:firstLine="561" w:firstLineChars="0"/>
        <w:rPr>
          <w:rFonts w:hint="eastAsia" w:ascii="宋体" w:hAnsi="宋体" w:eastAsia="宋体" w:cs="宋体"/>
          <w:highlight w:val="none"/>
        </w:rPr>
      </w:pPr>
      <w:r>
        <w:rPr>
          <w:rFonts w:hint="eastAsia" w:ascii="宋体" w:hAnsi="宋体" w:eastAsia="宋体" w:cs="宋体"/>
          <w:highlight w:val="none"/>
        </w:rPr>
        <w:t>2、成交供应商未征得采购人同意和谅解而单方面延迟交货，将按违约终止合同。</w:t>
      </w:r>
    </w:p>
    <w:p w14:paraId="34FCFA4A">
      <w:pPr>
        <w:pStyle w:val="8"/>
        <w:spacing w:line="360" w:lineRule="auto"/>
        <w:ind w:firstLine="561" w:firstLineChars="0"/>
        <w:rPr>
          <w:rFonts w:hint="eastAsia" w:ascii="宋体" w:hAnsi="宋体" w:eastAsia="宋体" w:cs="宋体"/>
          <w:highlight w:val="none"/>
        </w:rPr>
      </w:pPr>
      <w:r>
        <w:rPr>
          <w:rFonts w:hint="eastAsia" w:ascii="宋体" w:hAnsi="宋体" w:eastAsia="宋体" w:cs="宋体"/>
          <w:highlight w:val="none"/>
        </w:rPr>
        <w:t>3、成交供应商遇到可能妨碍按时交货和提供服务的情况，应当及时以书面形式通知采购人，</w:t>
      </w:r>
      <w:r>
        <w:rPr>
          <w:rFonts w:hint="eastAsia" w:ascii="宋体" w:hAnsi="宋体" w:eastAsia="宋体" w:cs="宋体"/>
          <w:highlight w:val="none"/>
          <w:lang w:eastAsia="zh-CN"/>
        </w:rPr>
        <w:t>说明缘由</w:t>
      </w:r>
      <w:r>
        <w:rPr>
          <w:rFonts w:hint="eastAsia" w:ascii="宋体" w:hAnsi="宋体" w:eastAsia="宋体" w:cs="宋体"/>
          <w:highlight w:val="none"/>
        </w:rPr>
        <w:t>、拖延的期限等；采购人在收到通知后，尽快进行情况评估并确定是否通过修改合同，酌情延长交货时间或者通过协商加收误期赔偿金。</w:t>
      </w:r>
    </w:p>
    <w:p w14:paraId="3ED2981F">
      <w:pPr>
        <w:pStyle w:val="8"/>
        <w:spacing w:before="120" w:beforeLines="50" w:after="120" w:afterLines="50" w:line="360" w:lineRule="auto"/>
        <w:ind w:firstLine="482"/>
        <w:rPr>
          <w:rFonts w:hint="eastAsia" w:ascii="宋体" w:hAnsi="宋体" w:eastAsia="宋体" w:cs="宋体"/>
          <w:b/>
          <w:highlight w:val="none"/>
        </w:rPr>
      </w:pPr>
      <w:bookmarkStart w:id="31" w:name="_Toc18364_WPSOffice_Level2"/>
      <w:bookmarkStart w:id="32" w:name="_Toc22837_WPSOffice_Level2"/>
      <w:bookmarkStart w:id="33" w:name="_Toc7232_WPSOffice_Level2"/>
      <w:r>
        <w:rPr>
          <w:rFonts w:hint="eastAsia" w:ascii="宋体" w:hAnsi="宋体" w:eastAsia="宋体" w:cs="宋体"/>
          <w:b/>
          <w:highlight w:val="none"/>
        </w:rPr>
        <w:t>第五条 质量保证</w:t>
      </w:r>
      <w:bookmarkEnd w:id="31"/>
      <w:bookmarkEnd w:id="32"/>
      <w:bookmarkEnd w:id="33"/>
    </w:p>
    <w:p w14:paraId="2CEE132E">
      <w:pPr>
        <w:spacing w:line="360" w:lineRule="auto"/>
        <w:ind w:firstLine="210" w:firstLineChars="100"/>
        <w:rPr>
          <w:rFonts w:hint="eastAsia" w:ascii="宋体" w:hAnsi="宋体" w:eastAsia="宋体" w:cs="宋体"/>
          <w:sz w:val="24"/>
          <w:highlight w:val="none"/>
        </w:rPr>
      </w:pPr>
      <w:r>
        <w:rPr>
          <w:rFonts w:hint="eastAsia" w:ascii="宋体" w:hAnsi="宋体" w:eastAsia="宋体" w:cs="宋体"/>
          <w:highlight w:val="none"/>
        </w:rPr>
        <w:t>1、</w:t>
      </w:r>
      <w:r>
        <w:rPr>
          <w:rFonts w:hint="eastAsia" w:ascii="宋体" w:hAnsi="宋体" w:eastAsia="宋体" w:cs="宋体"/>
          <w:sz w:val="24"/>
          <w:highlight w:val="none"/>
        </w:rPr>
        <w:t>交货前，生产厂商应当对货物的质量、规格、数量等进行准确而全面的检验，出具合格证并封装；货物送达指定地点后，成交供应商、采购人须在约定的时间和地点共同开箱检验。成交供应商使用的原材料应提供清单，并在到货24小时内通知采购人代表检验核实（具体方式在合同中明确）。</w:t>
      </w:r>
    </w:p>
    <w:p w14:paraId="39FDC6C1">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成交供应商应当保证所供货物的来源渠道正常，产品是全新的、未使用过的，且完全符合合同规定的质量、规格、技术指标等要求，并在质保期内、外应对由于产品设计、工艺或材料的缺陷而产生的质量问题负责。</w:t>
      </w:r>
    </w:p>
    <w:p w14:paraId="268F1E44">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3、乙方提供的节能和环保产品必须是列入政府采购清单的产品。乙方所提供货物还应符合国家和陕西省有关安全、环保、节能之规定，“3C”认证的货物（产品）应加贴“3C”认证标志。</w:t>
      </w:r>
    </w:p>
    <w:p w14:paraId="290139F0">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4、质量标准按照最新颁布的国家标准、行业标准或制造厂家企业标准确定，上述标准不一致的，以严格标准为准。</w:t>
      </w:r>
    </w:p>
    <w:p w14:paraId="48E85218">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5、货物制造质量出现问题，乙方应负责三包（包修、包换、包退），费用由乙方负担，甲方有权到乙方生产场地检查货物质量和生产进度。</w:t>
      </w:r>
    </w:p>
    <w:p w14:paraId="6EECB03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6、在质保期内，如果发现货物的质量、规格、技术指标等存在与合同有任何一项不符，采购人应在最短时间内，以书面形式向成交供应商提出索赔。同时通告招标组织机构。</w:t>
      </w:r>
    </w:p>
    <w:p w14:paraId="6285FA3E">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7、成交供应商应当明确售后服务公约，承诺免费维修服务条件。</w:t>
      </w:r>
    </w:p>
    <w:p w14:paraId="6657C609">
      <w:pPr>
        <w:pStyle w:val="8"/>
        <w:spacing w:after="120" w:afterLines="50" w:line="360" w:lineRule="auto"/>
        <w:ind w:firstLine="482"/>
        <w:rPr>
          <w:rFonts w:hint="eastAsia" w:ascii="宋体" w:hAnsi="宋体" w:eastAsia="宋体" w:cs="宋体"/>
          <w:b/>
          <w:highlight w:val="none"/>
        </w:rPr>
      </w:pPr>
      <w:bookmarkStart w:id="34" w:name="_Toc1713_WPSOffice_Level2"/>
      <w:bookmarkStart w:id="35" w:name="_Toc20511_WPSOffice_Level2"/>
      <w:bookmarkStart w:id="36" w:name="_Toc5034_WPSOffice_Level2"/>
      <w:r>
        <w:rPr>
          <w:rFonts w:hint="eastAsia" w:ascii="宋体" w:hAnsi="宋体" w:eastAsia="宋体" w:cs="宋体"/>
          <w:b/>
          <w:highlight w:val="none"/>
        </w:rPr>
        <w:t>第六条 权利保证</w:t>
      </w:r>
      <w:bookmarkEnd w:id="34"/>
      <w:bookmarkEnd w:id="35"/>
      <w:bookmarkEnd w:id="36"/>
    </w:p>
    <w:p w14:paraId="2D7F3A07">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1、乙方保证对其出售的货物享有合法的权利。</w:t>
      </w:r>
    </w:p>
    <w:p w14:paraId="07FFAC07">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2、乙方保证对其出售的货物上不存在任何未曾向甲方透露的担保物权，如抵押权、质押权、留置权。</w:t>
      </w:r>
    </w:p>
    <w:p w14:paraId="4172CFEC">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3、乙方保证对其出售的货物或其任何一部分没有侵犯第三方的专利权、版权、商标权或其他权利。</w:t>
      </w:r>
    </w:p>
    <w:p w14:paraId="1FA3D10B">
      <w:pPr>
        <w:pStyle w:val="8"/>
        <w:spacing w:line="360" w:lineRule="auto"/>
        <w:ind w:left="141" w:leftChars="67" w:firstLine="360" w:firstLineChars="150"/>
        <w:rPr>
          <w:rFonts w:hint="eastAsia" w:ascii="宋体" w:hAnsi="宋体" w:eastAsia="宋体" w:cs="宋体"/>
          <w:b/>
          <w:highlight w:val="none"/>
        </w:rPr>
      </w:pPr>
      <w:r>
        <w:rPr>
          <w:rFonts w:hint="eastAsia" w:ascii="宋体" w:hAnsi="宋体" w:eastAsia="宋体" w:cs="宋体"/>
          <w:highlight w:val="none"/>
        </w:rPr>
        <w:t>4、如甲方在使用该货物构成上述侵权的，则由乙方承担全部责任。</w:t>
      </w:r>
    </w:p>
    <w:p w14:paraId="27E55A9A">
      <w:pPr>
        <w:pStyle w:val="8"/>
        <w:spacing w:line="360" w:lineRule="auto"/>
        <w:ind w:left="141" w:leftChars="67" w:firstLine="361" w:firstLineChars="150"/>
        <w:rPr>
          <w:rFonts w:hint="eastAsia" w:ascii="宋体" w:hAnsi="宋体" w:eastAsia="宋体" w:cs="宋体"/>
          <w:highlight w:val="none"/>
        </w:rPr>
      </w:pPr>
      <w:bookmarkStart w:id="37" w:name="_Toc5680_WPSOffice_Level2"/>
      <w:bookmarkStart w:id="38" w:name="_Toc4276_WPSOffice_Level2"/>
      <w:bookmarkStart w:id="39" w:name="_Toc2264_WPSOffice_Level2"/>
      <w:r>
        <w:rPr>
          <w:rFonts w:hint="eastAsia" w:ascii="宋体" w:hAnsi="宋体" w:eastAsia="宋体" w:cs="宋体"/>
          <w:b/>
          <w:highlight w:val="none"/>
        </w:rPr>
        <w:t>第七条 包装要求及运输方式</w:t>
      </w:r>
      <w:bookmarkEnd w:id="37"/>
      <w:bookmarkEnd w:id="38"/>
      <w:bookmarkEnd w:id="39"/>
      <w:r>
        <w:rPr>
          <w:rFonts w:hint="eastAsia" w:ascii="宋体" w:hAnsi="宋体" w:eastAsia="宋体" w:cs="宋体"/>
          <w:b/>
          <w:highlight w:val="none"/>
        </w:rPr>
        <w:t xml:space="preserve">  </w:t>
      </w:r>
      <w:r>
        <w:rPr>
          <w:rFonts w:hint="eastAsia" w:ascii="宋体" w:hAnsi="宋体" w:eastAsia="宋体" w:cs="宋体"/>
          <w:highlight w:val="none"/>
        </w:rPr>
        <w:t xml:space="preserve"> </w:t>
      </w:r>
    </w:p>
    <w:p w14:paraId="40CA75C7">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1、包装要求：</w:t>
      </w:r>
    </w:p>
    <w:p w14:paraId="5B3348F4">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1.1、包装必须适应货物特性和交通运输要求，以及国家有关标准或企业标准或合同要求。成交供应商应承担由于包装、防护措施不妥引起的所有损失的责任和费用。</w:t>
      </w:r>
    </w:p>
    <w:p w14:paraId="1F70A9FB">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1.2、成交供应商应随同货物单位提供相应的中文技术文件（包括产品合格证、装箱清单、操作手册、使用说明、检测报告、维护手册、服务指南等资料），现场安装、调试、试运行技术保障服务。</w:t>
      </w:r>
    </w:p>
    <w:p w14:paraId="6554D7D3">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2、运输要求：成交供应商可根据交货期、运输条件自行选择运输方式（另有规定的除外），并承担一切运输费用。</w:t>
      </w:r>
    </w:p>
    <w:p w14:paraId="23A1A992">
      <w:pPr>
        <w:pStyle w:val="8"/>
        <w:spacing w:before="120" w:beforeLines="50" w:after="120" w:afterLines="50" w:line="360" w:lineRule="auto"/>
        <w:ind w:left="141" w:leftChars="67" w:firstLine="361" w:firstLineChars="150"/>
        <w:rPr>
          <w:rFonts w:hint="eastAsia" w:ascii="宋体" w:hAnsi="宋体" w:eastAsia="宋体" w:cs="宋体"/>
          <w:highlight w:val="none"/>
        </w:rPr>
      </w:pPr>
      <w:bookmarkStart w:id="40" w:name="_Toc26783_WPSOffice_Level2"/>
      <w:bookmarkStart w:id="41" w:name="_Toc19064_WPSOffice_Level2"/>
      <w:bookmarkStart w:id="42" w:name="_Toc8990_WPSOffice_Level2"/>
      <w:r>
        <w:rPr>
          <w:rFonts w:hint="eastAsia" w:ascii="宋体" w:hAnsi="宋体" w:eastAsia="宋体" w:cs="宋体"/>
          <w:b/>
          <w:highlight w:val="none"/>
        </w:rPr>
        <w:t>第八条 货物验收</w:t>
      </w:r>
      <w:bookmarkEnd w:id="40"/>
      <w:bookmarkEnd w:id="41"/>
      <w:bookmarkEnd w:id="42"/>
    </w:p>
    <w:p w14:paraId="42423ABE">
      <w:pPr>
        <w:pStyle w:val="8"/>
        <w:spacing w:line="360" w:lineRule="auto"/>
        <w:ind w:left="141" w:leftChars="67" w:firstLine="360" w:firstLineChars="150"/>
        <w:rPr>
          <w:rFonts w:hint="eastAsia" w:ascii="宋体" w:hAnsi="宋体" w:eastAsia="宋体" w:cs="宋体"/>
          <w:highlight w:val="none"/>
        </w:rPr>
      </w:pPr>
      <w:bookmarkStart w:id="43" w:name="_Toc64_WPSOffice_Level3"/>
      <w:r>
        <w:rPr>
          <w:rFonts w:hint="eastAsia" w:ascii="宋体" w:hAnsi="宋体" w:eastAsia="宋体" w:cs="宋体"/>
          <w:highlight w:val="none"/>
        </w:rPr>
        <w:t>1、货物验收由甲方组织，乙方配合，并按下列程序进行：</w:t>
      </w:r>
      <w:bookmarkEnd w:id="43"/>
    </w:p>
    <w:p w14:paraId="448DADFF">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1.1、交货验收时，乙方须提供质检部门产品抽样检查合格的检测报告（或生产厂家自检报告）及所提供货物（产品）的合格证、装箱清单、配件、随机工具、用户使用手册（产品使用说明书）、保修卡等资料交付给甲方；</w:t>
      </w:r>
    </w:p>
    <w:p w14:paraId="7C8D2FA5">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1.2、到货验收：货物到达后，按合同第一条款的货物清单和装箱单</w:t>
      </w:r>
      <w:r>
        <w:rPr>
          <w:rFonts w:hint="eastAsia" w:ascii="宋体" w:hAnsi="宋体" w:eastAsia="宋体" w:cs="宋体"/>
          <w:highlight w:val="none"/>
          <w:lang w:eastAsia="zh-CN"/>
        </w:rPr>
        <w:t>进</w:t>
      </w:r>
      <w:r>
        <w:rPr>
          <w:rFonts w:hint="eastAsia" w:ascii="宋体" w:hAnsi="宋体" w:eastAsia="宋体" w:cs="宋体"/>
          <w:highlight w:val="none"/>
        </w:rPr>
        <w:t>行逐一核对，同时检查货物外观，是否有划痕或破损的，并做好相应记录；</w:t>
      </w:r>
    </w:p>
    <w:p w14:paraId="4955DD87">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1.3、完工验收：乙方应在货物到货之日起，</w:t>
      </w:r>
      <w:r>
        <w:rPr>
          <w:rFonts w:hint="eastAsia" w:ascii="宋体" w:hAnsi="宋体" w:eastAsia="宋体" w:cs="宋体"/>
          <w:highlight w:val="none"/>
          <w:u w:val="single"/>
        </w:rPr>
        <w:t xml:space="preserve">   </w:t>
      </w:r>
      <w:r>
        <w:rPr>
          <w:rFonts w:hint="eastAsia" w:ascii="宋体" w:hAnsi="宋体" w:eastAsia="宋体" w:cs="宋体"/>
          <w:highlight w:val="none"/>
        </w:rPr>
        <w:t>日内全部完成安装调试完毕；乙方安装调试完毕后</w:t>
      </w:r>
      <w:r>
        <w:rPr>
          <w:rFonts w:hint="eastAsia" w:ascii="宋体" w:hAnsi="宋体" w:eastAsia="宋体" w:cs="宋体"/>
          <w:highlight w:val="none"/>
          <w:u w:val="single"/>
        </w:rPr>
        <w:t xml:space="preserve">    </w:t>
      </w:r>
      <w:r>
        <w:rPr>
          <w:rFonts w:hint="eastAsia" w:ascii="宋体" w:hAnsi="宋体" w:eastAsia="宋体" w:cs="宋体"/>
          <w:highlight w:val="none"/>
        </w:rPr>
        <w:t>日内完成初步验收；初步验收合格后，进入</w:t>
      </w:r>
      <w:r>
        <w:rPr>
          <w:rFonts w:hint="eastAsia" w:ascii="宋体" w:hAnsi="宋体" w:eastAsia="宋体" w:cs="宋体"/>
          <w:highlight w:val="none"/>
          <w:u w:val="single"/>
        </w:rPr>
        <w:t xml:space="preserve">    </w:t>
      </w:r>
      <w:r>
        <w:rPr>
          <w:rFonts w:hint="eastAsia" w:ascii="宋体" w:hAnsi="宋体" w:eastAsia="宋体" w:cs="宋体"/>
          <w:highlight w:val="none"/>
        </w:rPr>
        <w:t>日试用期；试用期间发生重大质量问题，修复后试用期相应顺延；通过检验的货物方可进行安装、调试，达到使用条件时由采购人负责组织验收，或者邀请有关专家、质检机构、采购代理机构共同进行验收；验收合格须交接项目实施的全部资料，并填写政府采购项目验收报告单。验收须以合同、国家相应的标准、规范等为依据。</w:t>
      </w:r>
    </w:p>
    <w:p w14:paraId="1CF665B5">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1.4、货物终验：试用期结束后</w:t>
      </w:r>
      <w:r>
        <w:rPr>
          <w:rFonts w:hint="eastAsia" w:ascii="宋体" w:hAnsi="宋体" w:eastAsia="宋体" w:cs="宋体"/>
          <w:highlight w:val="none"/>
          <w:u w:val="single"/>
        </w:rPr>
        <w:t xml:space="preserve">    </w:t>
      </w:r>
      <w:r>
        <w:rPr>
          <w:rFonts w:hint="eastAsia" w:ascii="宋体" w:hAnsi="宋体" w:eastAsia="宋体" w:cs="宋体"/>
          <w:highlight w:val="none"/>
        </w:rPr>
        <w:t>日内完成最终验收；</w:t>
      </w:r>
    </w:p>
    <w:p w14:paraId="446EE648">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1.5、质量验收合格，双方签署质量验收报告。</w:t>
      </w:r>
    </w:p>
    <w:p w14:paraId="7A491926">
      <w:pPr>
        <w:pStyle w:val="8"/>
        <w:spacing w:line="360" w:lineRule="auto"/>
        <w:ind w:firstLine="480"/>
        <w:rPr>
          <w:rFonts w:hint="eastAsia" w:ascii="宋体" w:hAnsi="宋体" w:eastAsia="宋体" w:cs="宋体"/>
          <w:highlight w:val="none"/>
        </w:rPr>
      </w:pPr>
      <w:bookmarkStart w:id="44" w:name="_Toc22729_WPSOffice_Level3"/>
      <w:r>
        <w:rPr>
          <w:rFonts w:hint="eastAsia" w:ascii="宋体" w:hAnsi="宋体" w:eastAsia="宋体" w:cs="宋体"/>
          <w:highlight w:val="none"/>
        </w:rPr>
        <w:t>2、货物验收依据：</w:t>
      </w:r>
      <w:bookmarkEnd w:id="44"/>
    </w:p>
    <w:p w14:paraId="28967314">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2.1、</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文件；</w:t>
      </w:r>
    </w:p>
    <w:p w14:paraId="7E7B0B91">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2.2、</w:t>
      </w:r>
      <w:r>
        <w:rPr>
          <w:rFonts w:hint="eastAsia" w:ascii="宋体" w:hAnsi="宋体" w:eastAsia="宋体" w:cs="宋体"/>
          <w:sz w:val="24"/>
          <w:szCs w:val="24"/>
          <w:highlight w:val="none"/>
          <w:lang w:eastAsia="zh-CN"/>
        </w:rPr>
        <w:t>响应文件</w:t>
      </w:r>
      <w:r>
        <w:rPr>
          <w:rFonts w:hint="eastAsia" w:ascii="宋体" w:hAnsi="宋体" w:eastAsia="宋体" w:cs="宋体"/>
          <w:sz w:val="24"/>
          <w:szCs w:val="24"/>
          <w:highlight w:val="none"/>
        </w:rPr>
        <w:t>；</w:t>
      </w:r>
    </w:p>
    <w:p w14:paraId="62BB83E8">
      <w:pPr>
        <w:pStyle w:val="3"/>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2.3、采购合同及补充协议；</w:t>
      </w:r>
    </w:p>
    <w:p w14:paraId="7723511B">
      <w:pPr>
        <w:pStyle w:val="3"/>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2.4、质检部门抽样检查货物（产品）合格的检测报告。</w:t>
      </w:r>
    </w:p>
    <w:p w14:paraId="2268408B">
      <w:pPr>
        <w:pStyle w:val="8"/>
        <w:spacing w:line="360" w:lineRule="auto"/>
        <w:ind w:firstLine="480"/>
        <w:rPr>
          <w:rFonts w:hint="eastAsia" w:ascii="宋体" w:hAnsi="宋体" w:eastAsia="宋体" w:cs="宋体"/>
          <w:highlight w:val="none"/>
        </w:rPr>
      </w:pPr>
      <w:bookmarkStart w:id="45" w:name="_Toc19538_WPSOffice_Level3"/>
      <w:r>
        <w:rPr>
          <w:rFonts w:hint="eastAsia" w:ascii="宋体" w:hAnsi="宋体" w:eastAsia="宋体" w:cs="宋体"/>
          <w:highlight w:val="none"/>
        </w:rPr>
        <w:t>3、货物验收时发现问题的处理办法：</w:t>
      </w:r>
      <w:bookmarkEnd w:id="45"/>
    </w:p>
    <w:p w14:paraId="294D826F">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3.1、乙方提供不符合</w:t>
      </w:r>
      <w:r>
        <w:rPr>
          <w:rFonts w:hint="eastAsia" w:ascii="宋体" w:hAnsi="宋体" w:eastAsia="宋体" w:cs="宋体"/>
          <w:highlight w:val="none"/>
          <w:lang w:eastAsia="zh-CN"/>
        </w:rPr>
        <w:t>招标</w:t>
      </w:r>
      <w:r>
        <w:rPr>
          <w:rFonts w:hint="eastAsia" w:ascii="宋体" w:hAnsi="宋体" w:eastAsia="宋体" w:cs="宋体"/>
          <w:highlight w:val="none"/>
        </w:rPr>
        <w:t>文件和本合同规定的货物（产品），甲方有权拒绝接受；</w:t>
      </w:r>
    </w:p>
    <w:p w14:paraId="1E1B4ADC">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w:t>
      </w:r>
      <w:r>
        <w:rPr>
          <w:rFonts w:hint="eastAsia" w:ascii="宋体" w:hAnsi="宋体" w:eastAsia="宋体" w:cs="宋体"/>
          <w:highlight w:val="none"/>
          <w:lang w:eastAsia="zh-CN"/>
        </w:rPr>
        <w:t>）的</w:t>
      </w:r>
      <w:r>
        <w:rPr>
          <w:rFonts w:hint="eastAsia" w:ascii="宋体" w:hAnsi="宋体" w:eastAsia="宋体" w:cs="宋体"/>
          <w:highlight w:val="none"/>
        </w:rPr>
        <w:t>有效证据，由此产生的时间延误与有关费用由乙方承担，验收期限相应顺延；</w:t>
      </w:r>
    </w:p>
    <w:p w14:paraId="2AB4486C">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3.3、如货物经乙方</w:t>
      </w:r>
      <w:r>
        <w:rPr>
          <w:rFonts w:hint="eastAsia" w:ascii="宋体" w:hAnsi="宋体" w:eastAsia="宋体" w:cs="宋体"/>
          <w:highlight w:val="none"/>
          <w:u w:val="single"/>
        </w:rPr>
        <w:t xml:space="preserve">   </w:t>
      </w:r>
      <w:r>
        <w:rPr>
          <w:rFonts w:hint="eastAsia" w:ascii="宋体" w:hAnsi="宋体" w:eastAsia="宋体" w:cs="宋体"/>
          <w:highlight w:val="none"/>
        </w:rPr>
        <w:t>次维修仍不能达到合同约定的质量标准，甲方有权退货，并视作乙方不能交付货物而须支付违约赔偿金给甲方，甲方还可依法追究乙方的违约责任；</w:t>
      </w:r>
    </w:p>
    <w:p w14:paraId="73ECCBEA">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3.4、货物安装完成后</w:t>
      </w:r>
      <w:r>
        <w:rPr>
          <w:rFonts w:hint="eastAsia" w:ascii="宋体" w:hAnsi="宋体" w:eastAsia="宋体" w:cs="宋体"/>
          <w:highlight w:val="none"/>
          <w:u w:val="single"/>
        </w:rPr>
        <w:t xml:space="preserve">  </w:t>
      </w:r>
      <w:r>
        <w:rPr>
          <w:rFonts w:hint="eastAsia" w:ascii="宋体" w:hAnsi="宋体" w:eastAsia="宋体" w:cs="宋体"/>
          <w:highlight w:val="none"/>
        </w:rPr>
        <w:t>日内，甲方无故不进行验收工作并已使用货物的，视同已安装调试完成并验收合格；</w:t>
      </w:r>
    </w:p>
    <w:p w14:paraId="20CB46BF">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3.5、乙方不能完整交付货物及本条第一款规定的单证和工具的，必须负责补齐，否则视为未按合同约定交货；</w:t>
      </w:r>
    </w:p>
    <w:p w14:paraId="4FCFB2AB">
      <w:pPr>
        <w:pStyle w:val="8"/>
        <w:spacing w:before="120" w:beforeLines="50" w:after="120" w:afterLines="50" w:line="360" w:lineRule="auto"/>
        <w:ind w:firstLine="482"/>
        <w:rPr>
          <w:rFonts w:hint="eastAsia" w:ascii="宋体" w:hAnsi="宋体" w:eastAsia="宋体" w:cs="宋体"/>
          <w:b/>
          <w:highlight w:val="none"/>
        </w:rPr>
      </w:pPr>
      <w:bookmarkStart w:id="46" w:name="_Toc20593_WPSOffice_Level2"/>
      <w:bookmarkStart w:id="47" w:name="_Toc21368_WPSOffice_Level2"/>
      <w:bookmarkStart w:id="48" w:name="_Toc22184_WPSOffice_Level2"/>
      <w:r>
        <w:rPr>
          <w:rFonts w:hint="eastAsia" w:ascii="宋体" w:hAnsi="宋体" w:eastAsia="宋体" w:cs="宋体"/>
          <w:b/>
          <w:highlight w:val="none"/>
        </w:rPr>
        <w:t>第九条 售后服务</w:t>
      </w:r>
      <w:bookmarkEnd w:id="46"/>
      <w:bookmarkEnd w:id="47"/>
      <w:bookmarkEnd w:id="48"/>
    </w:p>
    <w:p w14:paraId="630981A3">
      <w:pPr>
        <w:pStyle w:val="8"/>
        <w:spacing w:line="360" w:lineRule="auto"/>
        <w:ind w:firstLine="480"/>
        <w:rPr>
          <w:rFonts w:hint="eastAsia" w:ascii="宋体" w:hAnsi="宋体" w:eastAsia="宋体" w:cs="宋体"/>
          <w:kern w:val="0"/>
          <w:highlight w:val="none"/>
        </w:rPr>
      </w:pPr>
      <w:r>
        <w:rPr>
          <w:rFonts w:hint="eastAsia" w:ascii="宋体" w:hAnsi="宋体" w:eastAsia="宋体" w:cs="宋体"/>
          <w:kern w:val="0"/>
          <w:highlight w:val="none"/>
        </w:rPr>
        <w:t>乙方应按照国家有关法律法规和“三包”规定以及</w:t>
      </w:r>
      <w:r>
        <w:rPr>
          <w:rFonts w:hint="eastAsia" w:ascii="宋体" w:hAnsi="宋体" w:eastAsia="宋体" w:cs="宋体"/>
          <w:kern w:val="0"/>
          <w:highlight w:val="none"/>
          <w:lang w:eastAsia="zh-CN"/>
        </w:rPr>
        <w:t>招标</w:t>
      </w:r>
      <w:r>
        <w:rPr>
          <w:rFonts w:hint="eastAsia" w:ascii="宋体" w:hAnsi="宋体" w:eastAsia="宋体" w:cs="宋体"/>
          <w:kern w:val="0"/>
          <w:highlight w:val="none"/>
        </w:rPr>
        <w:t>文件要求和</w:t>
      </w:r>
      <w:r>
        <w:rPr>
          <w:rFonts w:hint="eastAsia" w:ascii="宋体" w:hAnsi="宋体" w:eastAsia="宋体" w:cs="宋体"/>
          <w:kern w:val="0"/>
          <w:highlight w:val="none"/>
          <w:lang w:eastAsia="zh-CN"/>
        </w:rPr>
        <w:t>响应文件</w:t>
      </w:r>
      <w:r>
        <w:rPr>
          <w:rFonts w:hint="eastAsia" w:ascii="宋体" w:hAnsi="宋体" w:eastAsia="宋体" w:cs="宋体"/>
          <w:kern w:val="0"/>
          <w:highlight w:val="none"/>
        </w:rPr>
        <w:t>的“服务承诺”提供服务。</w:t>
      </w:r>
    </w:p>
    <w:p w14:paraId="77E308BC">
      <w:pPr>
        <w:pStyle w:val="8"/>
        <w:spacing w:after="120" w:afterLines="50" w:line="360" w:lineRule="auto"/>
        <w:ind w:firstLine="482"/>
        <w:rPr>
          <w:rFonts w:hint="eastAsia" w:ascii="宋体" w:hAnsi="宋体" w:eastAsia="宋体" w:cs="宋体"/>
          <w:b/>
          <w:highlight w:val="none"/>
        </w:rPr>
      </w:pPr>
      <w:bookmarkStart w:id="49" w:name="_Toc13757_WPSOffice_Level2"/>
      <w:bookmarkStart w:id="50" w:name="_Toc21824_WPSOffice_Level2"/>
      <w:bookmarkStart w:id="51" w:name="_Toc32719_WPSOffice_Level2"/>
      <w:r>
        <w:rPr>
          <w:rFonts w:hint="eastAsia" w:ascii="宋体" w:hAnsi="宋体" w:eastAsia="宋体" w:cs="宋体"/>
          <w:b/>
          <w:highlight w:val="none"/>
        </w:rPr>
        <w:t>第十条 违约责任</w:t>
      </w:r>
      <w:bookmarkEnd w:id="49"/>
      <w:bookmarkEnd w:id="50"/>
      <w:bookmarkEnd w:id="51"/>
    </w:p>
    <w:p w14:paraId="1A66AAD4">
      <w:pPr>
        <w:pStyle w:val="8"/>
        <w:spacing w:after="120" w:afterLines="50" w:line="360" w:lineRule="auto"/>
        <w:ind w:firstLine="480"/>
        <w:rPr>
          <w:rFonts w:hint="eastAsia" w:ascii="宋体" w:hAnsi="宋体" w:eastAsia="宋体" w:cs="宋体"/>
          <w:highlight w:val="none"/>
        </w:rPr>
      </w:pPr>
      <w:r>
        <w:rPr>
          <w:rFonts w:hint="eastAsia" w:ascii="宋体" w:hAnsi="宋体" w:eastAsia="宋体" w:cs="宋体"/>
          <w:highlight w:val="none"/>
        </w:rPr>
        <w:t>1、依据《中华人民共和国</w:t>
      </w:r>
      <w:r>
        <w:rPr>
          <w:rFonts w:hint="eastAsia" w:ascii="宋体" w:hAnsi="宋体" w:eastAsia="宋体" w:cs="宋体"/>
          <w:highlight w:val="none"/>
          <w:lang w:eastAsia="zh-CN"/>
        </w:rPr>
        <w:t>民法典</w:t>
      </w:r>
      <w:r>
        <w:rPr>
          <w:rFonts w:hint="eastAsia" w:ascii="宋体" w:hAnsi="宋体" w:eastAsia="宋体" w:cs="宋体"/>
          <w:highlight w:val="none"/>
        </w:rPr>
        <w:t>》、《中华人民共和国政府采购法》的相关条款规定和本合同约定。</w:t>
      </w:r>
    </w:p>
    <w:p w14:paraId="70597AAA">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2、甲方违约责任</w:t>
      </w:r>
    </w:p>
    <w:p w14:paraId="5B9CF93A">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2.1、甲方无正当理由拒收货物的，甲方应偿付合同总价</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%的违约金；</w:t>
      </w:r>
    </w:p>
    <w:p w14:paraId="72ADB666">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2.2、甲方逾期支付货款的，除应及时付足货款外，应向乙方每天支付欠款总额</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‰的滞纳金；但累计滞纳金总额不超过欠款总额的</w:t>
      </w:r>
      <w:r>
        <w:rPr>
          <w:rFonts w:hint="eastAsia" w:ascii="宋体" w:hAnsi="宋体" w:eastAsia="宋体" w:cs="宋体"/>
          <w:highlight w:val="none"/>
          <w:u w:val="single"/>
        </w:rPr>
        <w:t xml:space="preserve">  </w:t>
      </w:r>
      <w:r>
        <w:rPr>
          <w:rFonts w:hint="eastAsia" w:ascii="宋体" w:hAnsi="宋体" w:eastAsia="宋体" w:cs="宋体"/>
          <w:highlight w:val="none"/>
        </w:rPr>
        <w:t>%。</w:t>
      </w:r>
    </w:p>
    <w:p w14:paraId="7922D345">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3、乙方违约责任</w:t>
      </w:r>
    </w:p>
    <w:p w14:paraId="07C0F118">
      <w:pPr>
        <w:widowControl/>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3.1、如乙方不能交付货物，甲方有权扣留全部履约保证金；同时乙方应向甲方支付合同总价</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％的违约金；</w:t>
      </w:r>
    </w:p>
    <w:p w14:paraId="0BFCD313">
      <w:pPr>
        <w:widowControl/>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3.2、乙方逾期交付货物的，每逾期1天，乙方向甲方偿付逾期交货部分货款总额的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‰的滞纳金。如乙方逾期交货达___天，甲方有权解除合同，解除合同的通知自到达乙方时生效；</w:t>
      </w:r>
    </w:p>
    <w:p w14:paraId="02FA3B87">
      <w:pPr>
        <w:widowControl/>
        <w:spacing w:line="360" w:lineRule="auto"/>
        <w:ind w:firstLine="480" w:firstLineChars="200"/>
        <w:jc w:val="left"/>
        <w:rPr>
          <w:rFonts w:hint="eastAsia" w:ascii="宋体" w:hAnsi="宋体" w:eastAsia="宋体" w:cs="宋体"/>
          <w:kern w:val="0"/>
          <w:sz w:val="24"/>
          <w:highlight w:val="none"/>
        </w:rPr>
      </w:pPr>
      <w:r>
        <w:rPr>
          <w:rFonts w:hint="eastAsia" w:ascii="宋体" w:hAnsi="宋体" w:eastAsia="宋体" w:cs="宋体"/>
          <w:kern w:val="0"/>
          <w:sz w:val="24"/>
          <w:highlight w:val="none"/>
        </w:rPr>
        <w:t xml:space="preserve">3.3、乙方所交付的货物品种、型号、规格不符合合同规定的，甲方有权拒收。甲方拒收的，乙方应向甲方支付货款总额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%的违约金；</w:t>
      </w:r>
    </w:p>
    <w:p w14:paraId="7837C148">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s="宋体"/>
          <w:highlight w:val="none"/>
          <w:u w:val="single"/>
        </w:rPr>
        <w:t xml:space="preserve">   </w:t>
      </w:r>
      <w:r>
        <w:rPr>
          <w:rFonts w:hint="eastAsia" w:ascii="宋体" w:hAnsi="宋体" w:eastAsia="宋体" w:cs="宋体"/>
          <w:highlight w:val="none"/>
        </w:rPr>
        <w:t>天内无条件更换合格的货物，如逾期不能更换合格的货物，甲方有权终止本合同，乙方应另向甲方支付货款总额的</w:t>
      </w:r>
      <w:r>
        <w:rPr>
          <w:rFonts w:hint="eastAsia" w:ascii="宋体" w:hAnsi="宋体" w:eastAsia="宋体" w:cs="宋体"/>
          <w:highlight w:val="none"/>
          <w:u w:val="single"/>
        </w:rPr>
        <w:t xml:space="preserve">   </w:t>
      </w:r>
      <w:r>
        <w:rPr>
          <w:rFonts w:hint="eastAsia" w:ascii="宋体" w:hAnsi="宋体" w:eastAsia="宋体" w:cs="宋体"/>
          <w:highlight w:val="none"/>
        </w:rPr>
        <w:t>%的违约金；</w:t>
      </w:r>
    </w:p>
    <w:p w14:paraId="1AEB2560">
      <w:pPr>
        <w:pStyle w:val="8"/>
        <w:spacing w:line="360" w:lineRule="auto"/>
        <w:ind w:firstLine="480"/>
        <w:rPr>
          <w:rFonts w:hint="eastAsia" w:ascii="宋体" w:hAnsi="宋体" w:eastAsia="宋体" w:cs="宋体"/>
          <w:kern w:val="0"/>
          <w:highlight w:val="none"/>
        </w:rPr>
      </w:pPr>
      <w:r>
        <w:rPr>
          <w:rFonts w:hint="eastAsia" w:ascii="宋体" w:hAnsi="宋体" w:eastAsia="宋体" w:cs="宋体"/>
          <w:kern w:val="0"/>
          <w:highlight w:val="none"/>
        </w:rPr>
        <w:t>3.5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33409F19">
      <w:pPr>
        <w:pStyle w:val="8"/>
        <w:spacing w:line="360" w:lineRule="auto"/>
        <w:ind w:firstLine="480"/>
        <w:rPr>
          <w:rFonts w:hint="eastAsia" w:ascii="宋体" w:hAnsi="宋体" w:eastAsia="宋体" w:cs="宋体"/>
          <w:kern w:val="0"/>
          <w:highlight w:val="none"/>
        </w:rPr>
      </w:pPr>
      <w:r>
        <w:rPr>
          <w:rFonts w:hint="eastAsia" w:ascii="宋体" w:hAnsi="宋体" w:eastAsia="宋体" w:cs="宋体"/>
          <w:kern w:val="0"/>
          <w:highlight w:val="none"/>
        </w:rPr>
        <w:t>3.6、乙方未按本合同第十条的规定向甲方交付履约保证金的，应按应交付履约保证金的</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rPr>
        <w:t>%向甲方支付违约金，该违约金的支付不影响乙方应承担的其他违约责任；</w:t>
      </w:r>
    </w:p>
    <w:p w14:paraId="6327B14A">
      <w:pPr>
        <w:pStyle w:val="8"/>
        <w:spacing w:line="360" w:lineRule="auto"/>
        <w:ind w:firstLine="480"/>
        <w:rPr>
          <w:rFonts w:hint="eastAsia" w:ascii="宋体" w:hAnsi="宋体" w:eastAsia="宋体" w:cs="宋体"/>
          <w:kern w:val="0"/>
          <w:highlight w:val="none"/>
        </w:rPr>
      </w:pPr>
      <w:r>
        <w:rPr>
          <w:rFonts w:hint="eastAsia" w:ascii="宋体" w:hAnsi="宋体" w:eastAsia="宋体" w:cs="宋体"/>
          <w:kern w:val="0"/>
          <w:highlight w:val="none"/>
        </w:rPr>
        <w:t>3.7、乙方未按本合同的规定和“服务承诺”提供伴随服务/售后服务的，应按合同总价款的</w:t>
      </w:r>
      <w:r>
        <w:rPr>
          <w:rFonts w:hint="eastAsia" w:ascii="宋体" w:hAnsi="宋体" w:eastAsia="宋体" w:cs="宋体"/>
          <w:kern w:val="0"/>
          <w:highlight w:val="none"/>
          <w:u w:val="single"/>
        </w:rPr>
        <w:t xml:space="preserve">  </w:t>
      </w:r>
      <w:r>
        <w:rPr>
          <w:rFonts w:hint="eastAsia" w:ascii="宋体" w:hAnsi="宋体" w:eastAsia="宋体" w:cs="宋体"/>
          <w:kern w:val="0"/>
          <w:highlight w:val="none"/>
        </w:rPr>
        <w:t>%向甲方承担违约责任；</w:t>
      </w:r>
    </w:p>
    <w:p w14:paraId="195C4FD2">
      <w:pPr>
        <w:pStyle w:val="8"/>
        <w:spacing w:line="360" w:lineRule="auto"/>
        <w:ind w:firstLine="480"/>
        <w:rPr>
          <w:rFonts w:hint="eastAsia" w:ascii="宋体" w:hAnsi="宋体" w:eastAsia="宋体" w:cs="宋体"/>
          <w:kern w:val="0"/>
          <w:highlight w:val="none"/>
        </w:rPr>
      </w:pPr>
      <w:r>
        <w:rPr>
          <w:rFonts w:hint="eastAsia" w:ascii="宋体" w:hAnsi="宋体" w:eastAsia="宋体" w:cs="宋体"/>
          <w:kern w:val="0"/>
          <w:highlight w:val="none"/>
        </w:rPr>
        <w:t>3.8、乙方在承担上述1-7款一项或多项违约责任后，仍应继续履行合同规定的义务（甲方解除合同的除外）。甲方未能及时追究乙方的任何一项违约责任并不表明甲方放弃追究乙方该项或其他违约责任；</w:t>
      </w:r>
    </w:p>
    <w:p w14:paraId="32D7129C">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3.9、乙方偿付的违约金不足以弥补甲方损失的，还应按甲方损失尚未弥补的部分，支付赔偿金给甲方。</w:t>
      </w:r>
    </w:p>
    <w:p w14:paraId="781FB3F5">
      <w:pPr>
        <w:widowControl/>
        <w:spacing w:before="120" w:beforeLines="50" w:after="120" w:afterLines="50" w:line="360" w:lineRule="auto"/>
        <w:ind w:firstLine="482" w:firstLineChars="200"/>
        <w:jc w:val="left"/>
        <w:rPr>
          <w:rFonts w:hint="eastAsia" w:ascii="宋体" w:hAnsi="宋体" w:eastAsia="宋体" w:cs="宋体"/>
          <w:kern w:val="0"/>
          <w:sz w:val="24"/>
          <w:highlight w:val="none"/>
        </w:rPr>
      </w:pPr>
      <w:bookmarkStart w:id="52" w:name="_Toc22041_WPSOffice_Level2"/>
      <w:bookmarkStart w:id="53" w:name="_Toc13663_WPSOffice_Level2"/>
      <w:bookmarkStart w:id="54" w:name="_Toc14525_WPSOffice_Level2"/>
      <w:r>
        <w:rPr>
          <w:rFonts w:hint="eastAsia" w:ascii="宋体" w:hAnsi="宋体" w:eastAsia="宋体" w:cs="宋体"/>
          <w:b/>
          <w:sz w:val="24"/>
          <w:highlight w:val="none"/>
        </w:rPr>
        <w:t>第十</w:t>
      </w:r>
      <w:r>
        <w:rPr>
          <w:rFonts w:hint="eastAsia" w:ascii="宋体" w:hAnsi="宋体" w:eastAsia="宋体" w:cs="宋体"/>
          <w:b/>
          <w:sz w:val="24"/>
          <w:highlight w:val="none"/>
          <w:lang w:eastAsia="zh-CN"/>
        </w:rPr>
        <w:t>一</w:t>
      </w:r>
      <w:r>
        <w:rPr>
          <w:rFonts w:hint="eastAsia" w:ascii="宋体" w:hAnsi="宋体" w:eastAsia="宋体" w:cs="宋体"/>
          <w:b/>
          <w:sz w:val="24"/>
          <w:highlight w:val="none"/>
        </w:rPr>
        <w:t xml:space="preserve">条 </w:t>
      </w:r>
      <w:r>
        <w:rPr>
          <w:rFonts w:hint="eastAsia" w:ascii="宋体" w:hAnsi="宋体" w:eastAsia="宋体" w:cs="宋体"/>
          <w:b/>
          <w:kern w:val="0"/>
          <w:sz w:val="24"/>
          <w:highlight w:val="none"/>
        </w:rPr>
        <w:t>合同的变更和终止</w:t>
      </w:r>
      <w:bookmarkEnd w:id="52"/>
      <w:bookmarkEnd w:id="53"/>
      <w:bookmarkEnd w:id="54"/>
    </w:p>
    <w:p w14:paraId="1AA0F78F">
      <w:pPr>
        <w:spacing w:line="360" w:lineRule="auto"/>
        <w:ind w:firstLine="360" w:firstLineChars="150"/>
        <w:rPr>
          <w:rFonts w:hint="eastAsia" w:ascii="宋体" w:hAnsi="宋体" w:eastAsia="宋体" w:cs="宋体"/>
          <w:sz w:val="24"/>
          <w:highlight w:val="none"/>
        </w:rPr>
      </w:pPr>
      <w:r>
        <w:rPr>
          <w:rFonts w:hint="eastAsia" w:ascii="宋体" w:hAnsi="宋体" w:eastAsia="宋体" w:cs="宋体"/>
          <w:kern w:val="0"/>
          <w:sz w:val="24"/>
          <w:highlight w:val="none"/>
        </w:rPr>
        <w:t>除《中华人民共和国政府采购法》第49条、第50条第二款规定的情形外，本合同一经签订，甲乙双方不得擅自变更、中止或终止合同。</w:t>
      </w:r>
      <w:r>
        <w:rPr>
          <w:rFonts w:hint="eastAsia" w:ascii="宋体" w:hAnsi="宋体" w:eastAsia="宋体" w:cs="宋体"/>
          <w:sz w:val="24"/>
          <w:highlight w:val="none"/>
        </w:rPr>
        <w:t>对确需变更、调整或者中止、终止合同的，应按规定履行相应的手续。</w:t>
      </w:r>
    </w:p>
    <w:p w14:paraId="77021B68">
      <w:pPr>
        <w:widowControl/>
        <w:spacing w:before="120" w:beforeLines="50" w:after="120" w:afterLines="50" w:line="360" w:lineRule="auto"/>
        <w:ind w:firstLine="482" w:firstLineChars="200"/>
        <w:jc w:val="left"/>
        <w:rPr>
          <w:rFonts w:hint="eastAsia" w:ascii="宋体" w:hAnsi="宋体" w:eastAsia="宋体" w:cs="宋体"/>
          <w:b/>
          <w:kern w:val="0"/>
          <w:sz w:val="24"/>
          <w:highlight w:val="none"/>
        </w:rPr>
      </w:pPr>
      <w:bookmarkStart w:id="55" w:name="_Toc25664_WPSOffice_Level2"/>
      <w:bookmarkStart w:id="56" w:name="_Toc11972_WPSOffice_Level2"/>
      <w:bookmarkStart w:id="57" w:name="_Toc13917_WPSOffice_Level2"/>
      <w:r>
        <w:rPr>
          <w:rFonts w:hint="eastAsia" w:ascii="宋体" w:hAnsi="宋体" w:eastAsia="宋体" w:cs="宋体"/>
          <w:b/>
          <w:kern w:val="0"/>
          <w:sz w:val="24"/>
          <w:highlight w:val="none"/>
        </w:rPr>
        <w:t>第十</w:t>
      </w:r>
      <w:r>
        <w:rPr>
          <w:rFonts w:hint="eastAsia" w:ascii="宋体" w:hAnsi="宋体" w:eastAsia="宋体" w:cs="宋体"/>
          <w:b/>
          <w:kern w:val="0"/>
          <w:sz w:val="24"/>
          <w:highlight w:val="none"/>
          <w:lang w:eastAsia="zh-CN"/>
        </w:rPr>
        <w:t>二</w:t>
      </w:r>
      <w:r>
        <w:rPr>
          <w:rFonts w:hint="eastAsia" w:ascii="宋体" w:hAnsi="宋体" w:eastAsia="宋体" w:cs="宋体"/>
          <w:b/>
          <w:kern w:val="0"/>
          <w:sz w:val="24"/>
          <w:highlight w:val="none"/>
        </w:rPr>
        <w:t>条 争议的解决</w:t>
      </w:r>
      <w:bookmarkEnd w:id="55"/>
      <w:bookmarkEnd w:id="56"/>
      <w:bookmarkEnd w:id="57"/>
    </w:p>
    <w:p w14:paraId="00F82DC0">
      <w:pPr>
        <w:pStyle w:val="8"/>
        <w:spacing w:line="360" w:lineRule="auto"/>
        <w:ind w:firstLine="480"/>
        <w:rPr>
          <w:rFonts w:hint="eastAsia" w:ascii="宋体" w:hAnsi="宋体" w:eastAsia="宋体" w:cs="宋体"/>
          <w:highlight w:val="none"/>
        </w:rPr>
      </w:pPr>
      <w:r>
        <w:rPr>
          <w:rFonts w:hint="eastAsia" w:ascii="宋体" w:hAnsi="宋体" w:eastAsia="宋体" w:cs="宋体"/>
          <w:highlight w:val="none"/>
        </w:rPr>
        <w:t>1、因货物的质量问题发生争议，由质量技术监督部门或其指定的质量鉴定机构进行质量鉴定。货物符合标准的，鉴定费由甲方承担；货物不符合质量标准的，鉴定费由乙方承担。</w:t>
      </w:r>
    </w:p>
    <w:p w14:paraId="12D0ED6B">
      <w:pPr>
        <w:pStyle w:val="8"/>
        <w:spacing w:line="360" w:lineRule="auto"/>
        <w:ind w:firstLine="480"/>
        <w:rPr>
          <w:rFonts w:hint="eastAsia" w:ascii="宋体" w:hAnsi="宋体" w:eastAsia="宋体" w:cs="宋体"/>
          <w:kern w:val="0"/>
          <w:highlight w:val="none"/>
        </w:rPr>
      </w:pPr>
      <w:r>
        <w:rPr>
          <w:rFonts w:hint="eastAsia" w:ascii="宋体" w:hAnsi="宋体" w:eastAsia="宋体" w:cs="宋体"/>
          <w:kern w:val="0"/>
          <w:highlight w:val="none"/>
        </w:rPr>
        <w:t>2、因履行本合同引起的或与本合同有关的争议，甲、乙双方应首先通过友好协商解决，如果协商不成，</w:t>
      </w:r>
      <w:bookmarkStart w:id="58" w:name="_Toc334_WPSOffice_Level3"/>
      <w:r>
        <w:rPr>
          <w:rFonts w:hint="eastAsia" w:ascii="宋体" w:hAnsi="宋体" w:eastAsia="宋体" w:cs="宋体"/>
          <w:kern w:val="0"/>
          <w:highlight w:val="none"/>
          <w:lang w:eastAsia="zh-CN"/>
        </w:rPr>
        <w:t>可</w:t>
      </w:r>
      <w:r>
        <w:rPr>
          <w:rFonts w:hint="eastAsia" w:ascii="宋体" w:hAnsi="宋体" w:eastAsia="宋体" w:cs="宋体"/>
          <w:kern w:val="0"/>
          <w:highlight w:val="none"/>
        </w:rPr>
        <w:t>向甲方所在地人民法院提起诉讼；</w:t>
      </w:r>
      <w:bookmarkEnd w:id="58"/>
    </w:p>
    <w:p w14:paraId="3259EE1A">
      <w:pPr>
        <w:snapToGrid w:val="0"/>
        <w:spacing w:before="120" w:beforeLines="50" w:after="120" w:afterLines="50" w:line="360" w:lineRule="auto"/>
        <w:ind w:firstLine="482" w:firstLineChars="200"/>
        <w:textAlignment w:val="baseline"/>
        <w:rPr>
          <w:rFonts w:hint="eastAsia" w:ascii="宋体" w:hAnsi="宋体" w:eastAsia="宋体" w:cs="宋体"/>
          <w:b/>
          <w:sz w:val="24"/>
          <w:highlight w:val="none"/>
        </w:rPr>
      </w:pPr>
      <w:bookmarkStart w:id="59" w:name="_Toc11675_WPSOffice_Level2"/>
      <w:bookmarkStart w:id="60" w:name="_Toc5018_WPSOffice_Level2"/>
      <w:bookmarkStart w:id="61" w:name="_Toc23181_WPSOffice_Level2"/>
      <w:r>
        <w:rPr>
          <w:rFonts w:hint="eastAsia" w:ascii="宋体" w:hAnsi="宋体" w:eastAsia="宋体" w:cs="宋体"/>
          <w:b/>
          <w:sz w:val="24"/>
          <w:highlight w:val="none"/>
        </w:rPr>
        <w:t>第十四条</w:t>
      </w:r>
      <w:r>
        <w:rPr>
          <w:rFonts w:hint="eastAsia" w:ascii="宋体" w:hAnsi="宋体" w:eastAsia="宋体" w:cs="宋体"/>
          <w:sz w:val="24"/>
          <w:highlight w:val="none"/>
        </w:rPr>
        <w:t xml:space="preserve"> </w:t>
      </w:r>
      <w:r>
        <w:rPr>
          <w:rFonts w:hint="eastAsia" w:ascii="宋体" w:hAnsi="宋体" w:eastAsia="宋体" w:cs="宋体"/>
          <w:b/>
          <w:sz w:val="24"/>
          <w:highlight w:val="none"/>
        </w:rPr>
        <w:t>合同文件</w:t>
      </w:r>
      <w:bookmarkEnd w:id="59"/>
      <w:bookmarkEnd w:id="60"/>
      <w:bookmarkEnd w:id="61"/>
    </w:p>
    <w:p w14:paraId="4E644B4B">
      <w:pPr>
        <w:snapToGrid w:val="0"/>
        <w:spacing w:before="120" w:beforeLines="50" w:after="120" w:afterLines="50" w:line="360" w:lineRule="auto"/>
        <w:ind w:firstLine="480" w:firstLineChars="200"/>
        <w:textAlignment w:val="baseline"/>
        <w:rPr>
          <w:rFonts w:hint="eastAsia" w:ascii="宋体" w:hAnsi="宋体" w:eastAsia="宋体" w:cs="宋体"/>
          <w:sz w:val="24"/>
          <w:highlight w:val="none"/>
        </w:rPr>
      </w:pPr>
      <w:r>
        <w:rPr>
          <w:rFonts w:hint="eastAsia" w:ascii="宋体" w:hAnsi="宋体" w:eastAsia="宋体" w:cs="宋体"/>
          <w:sz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1F0073EA">
      <w:pPr>
        <w:snapToGrid w:val="0"/>
        <w:spacing w:line="360" w:lineRule="auto"/>
        <w:ind w:firstLine="539"/>
        <w:rPr>
          <w:rFonts w:hint="eastAsia" w:ascii="宋体" w:hAnsi="宋体" w:eastAsia="宋体" w:cs="宋体"/>
          <w:sz w:val="24"/>
          <w:highlight w:val="none"/>
        </w:rPr>
      </w:pPr>
      <w:bookmarkStart w:id="62" w:name="_Toc31930_WPSOffice_Level3"/>
      <w:r>
        <w:rPr>
          <w:rFonts w:hint="eastAsia" w:ascii="宋体" w:hAnsi="宋体" w:eastAsia="宋体" w:cs="宋体"/>
          <w:sz w:val="24"/>
          <w:highlight w:val="none"/>
        </w:rPr>
        <w:t>1、本合同书</w:t>
      </w:r>
      <w:bookmarkEnd w:id="62"/>
      <w:bookmarkStart w:id="63" w:name="_Toc7331_WPSOffice_Level3"/>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2、成交通知书</w:t>
      </w:r>
      <w:bookmarkEnd w:id="63"/>
      <w:r>
        <w:rPr>
          <w:rFonts w:hint="eastAsia" w:ascii="宋体" w:hAnsi="宋体" w:eastAsia="宋体" w:cs="宋体"/>
          <w:sz w:val="24"/>
          <w:highlight w:val="none"/>
        </w:rPr>
        <w:tab/>
      </w:r>
      <w:bookmarkStart w:id="64" w:name="_Toc11196_WPSOffice_Level3"/>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3、协议</w:t>
      </w:r>
      <w:bookmarkEnd w:id="64"/>
      <w:bookmarkStart w:id="65" w:name="_Toc28637_WPSOffice_Level3"/>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4、</w:t>
      </w:r>
      <w:r>
        <w:rPr>
          <w:rFonts w:hint="eastAsia" w:ascii="宋体" w:hAnsi="宋体" w:eastAsia="宋体" w:cs="宋体"/>
          <w:sz w:val="24"/>
          <w:highlight w:val="none"/>
          <w:lang w:eastAsia="zh-CN"/>
        </w:rPr>
        <w:t>招标</w:t>
      </w:r>
      <w:r>
        <w:rPr>
          <w:rFonts w:hint="eastAsia" w:ascii="宋体" w:hAnsi="宋体" w:eastAsia="宋体" w:cs="宋体"/>
          <w:sz w:val="24"/>
          <w:highlight w:val="none"/>
        </w:rPr>
        <w:t>文件(含澄清文件)</w:t>
      </w:r>
      <w:bookmarkEnd w:id="65"/>
    </w:p>
    <w:p w14:paraId="703AB9C2">
      <w:pPr>
        <w:snapToGrid w:val="0"/>
        <w:spacing w:line="360" w:lineRule="auto"/>
        <w:ind w:firstLine="539"/>
        <w:rPr>
          <w:rFonts w:hint="eastAsia" w:ascii="宋体" w:hAnsi="宋体" w:eastAsia="宋体" w:cs="宋体"/>
          <w:sz w:val="24"/>
          <w:highlight w:val="none"/>
          <w:lang w:eastAsia="zh-CN"/>
        </w:rPr>
      </w:pPr>
      <w:bookmarkStart w:id="66" w:name="_Toc21863_WPSOffice_Level3"/>
      <w:r>
        <w:rPr>
          <w:rFonts w:hint="eastAsia" w:ascii="宋体" w:hAnsi="宋体" w:eastAsia="宋体" w:cs="宋体"/>
          <w:sz w:val="24"/>
          <w:highlight w:val="none"/>
        </w:rPr>
        <w:t>5、</w:t>
      </w:r>
      <w:r>
        <w:rPr>
          <w:rFonts w:hint="eastAsia" w:ascii="宋体" w:hAnsi="宋体" w:eastAsia="宋体" w:cs="宋体"/>
          <w:sz w:val="24"/>
          <w:highlight w:val="none"/>
          <w:lang w:eastAsia="zh-CN"/>
        </w:rPr>
        <w:t>响应文件</w:t>
      </w:r>
      <w:bookmarkEnd w:id="66"/>
    </w:p>
    <w:p w14:paraId="74530278">
      <w:pPr>
        <w:snapToGrid w:val="0"/>
        <w:spacing w:before="120" w:beforeLines="50" w:after="120" w:afterLines="50" w:line="360" w:lineRule="auto"/>
        <w:ind w:firstLine="539"/>
        <w:rPr>
          <w:rFonts w:hint="eastAsia" w:ascii="宋体" w:hAnsi="宋体" w:eastAsia="宋体" w:cs="宋体"/>
          <w:b/>
          <w:kern w:val="0"/>
          <w:sz w:val="24"/>
          <w:highlight w:val="none"/>
        </w:rPr>
      </w:pPr>
      <w:bookmarkStart w:id="67" w:name="_Toc19655_WPSOffice_Level2"/>
      <w:bookmarkStart w:id="68" w:name="_Toc15476_WPSOffice_Level2"/>
      <w:bookmarkStart w:id="69" w:name="_Toc31599_WPSOffice_Level2"/>
      <w:r>
        <w:rPr>
          <w:rFonts w:hint="eastAsia" w:ascii="宋体" w:hAnsi="宋体" w:eastAsia="宋体" w:cs="宋体"/>
          <w:b/>
          <w:sz w:val="24"/>
          <w:highlight w:val="none"/>
        </w:rPr>
        <w:t xml:space="preserve">第十五条 </w:t>
      </w:r>
      <w:r>
        <w:rPr>
          <w:rFonts w:hint="eastAsia" w:ascii="宋体" w:hAnsi="宋体" w:eastAsia="宋体" w:cs="宋体"/>
          <w:b/>
          <w:kern w:val="0"/>
          <w:sz w:val="24"/>
          <w:highlight w:val="none"/>
        </w:rPr>
        <w:t>合同生效及其他</w:t>
      </w:r>
      <w:bookmarkEnd w:id="67"/>
      <w:bookmarkEnd w:id="68"/>
      <w:bookmarkEnd w:id="69"/>
    </w:p>
    <w:p w14:paraId="5D22F2BB">
      <w:pPr>
        <w:snapToGrid w:val="0"/>
        <w:spacing w:line="360" w:lineRule="auto"/>
        <w:ind w:firstLine="539"/>
        <w:rPr>
          <w:rFonts w:hint="eastAsia" w:ascii="宋体" w:hAnsi="宋体" w:eastAsia="宋体" w:cs="宋体"/>
          <w:sz w:val="24"/>
          <w:highlight w:val="none"/>
        </w:rPr>
      </w:pPr>
      <w:r>
        <w:rPr>
          <w:rFonts w:hint="eastAsia" w:ascii="宋体" w:hAnsi="宋体" w:eastAsia="宋体" w:cs="宋体"/>
          <w:kern w:val="0"/>
          <w:sz w:val="24"/>
          <w:highlight w:val="none"/>
        </w:rPr>
        <w:t>1、</w:t>
      </w:r>
      <w:r>
        <w:rPr>
          <w:rFonts w:hint="eastAsia" w:ascii="宋体" w:hAnsi="宋体" w:eastAsia="宋体" w:cs="宋体"/>
          <w:sz w:val="24"/>
          <w:highlight w:val="none"/>
        </w:rPr>
        <w:t>如有未尽事宜，由双方依法订立补充合同。</w:t>
      </w:r>
    </w:p>
    <w:p w14:paraId="1BE24C4A">
      <w:pPr>
        <w:snapToGrid w:val="0"/>
        <w:spacing w:line="360" w:lineRule="auto"/>
        <w:ind w:firstLine="539"/>
        <w:rPr>
          <w:rFonts w:hint="eastAsia" w:ascii="宋体" w:hAnsi="宋体" w:eastAsia="宋体" w:cs="宋体"/>
          <w:kern w:val="0"/>
          <w:sz w:val="24"/>
          <w:highlight w:val="none"/>
        </w:rPr>
      </w:pPr>
      <w:r>
        <w:rPr>
          <w:rFonts w:hint="eastAsia" w:ascii="宋体" w:hAnsi="宋体" w:eastAsia="宋体" w:cs="宋体"/>
          <w:kern w:val="0"/>
          <w:sz w:val="24"/>
          <w:highlight w:val="none"/>
        </w:rPr>
        <w:t>2、本合同自签订之日起生效。</w:t>
      </w:r>
    </w:p>
    <w:p w14:paraId="71C69D0C">
      <w:pPr>
        <w:snapToGrid w:val="0"/>
        <w:spacing w:line="360" w:lineRule="auto"/>
        <w:ind w:firstLine="539"/>
        <w:rPr>
          <w:rFonts w:hint="eastAsia" w:ascii="宋体" w:hAnsi="宋体" w:eastAsia="宋体" w:cs="宋体"/>
          <w:kern w:val="0"/>
          <w:sz w:val="24"/>
          <w:highlight w:val="none"/>
        </w:rPr>
      </w:pPr>
      <w:r>
        <w:rPr>
          <w:rFonts w:hint="eastAsia" w:ascii="宋体" w:hAnsi="宋体" w:eastAsia="宋体" w:cs="宋体"/>
          <w:kern w:val="0"/>
          <w:sz w:val="24"/>
          <w:highlight w:val="none"/>
        </w:rPr>
        <w:t>3、本合同一式___份，具有同等法律效力，甲乙双方各执____份。</w:t>
      </w:r>
    </w:p>
    <w:tbl>
      <w:tblPr>
        <w:tblStyle w:val="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3"/>
        <w:gridCol w:w="3212"/>
        <w:gridCol w:w="3213"/>
      </w:tblGrid>
      <w:tr w14:paraId="692CE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2A0AE83A">
            <w:pPr>
              <w:spacing w:line="360" w:lineRule="exact"/>
              <w:jc w:val="center"/>
              <w:rPr>
                <w:rFonts w:hint="eastAsia" w:ascii="宋体" w:hAnsi="宋体" w:cs="宋体"/>
                <w:sz w:val="24"/>
                <w:highlight w:val="none"/>
              </w:rPr>
            </w:pPr>
            <w:r>
              <w:rPr>
                <w:rFonts w:hint="eastAsia" w:ascii="宋体" w:hAnsi="宋体" w:cs="宋体"/>
                <w:sz w:val="24"/>
                <w:highlight w:val="none"/>
              </w:rPr>
              <w:t>甲  方</w:t>
            </w:r>
          </w:p>
        </w:tc>
        <w:tc>
          <w:tcPr>
            <w:tcW w:w="3212" w:type="dxa"/>
            <w:noWrap w:val="0"/>
            <w:vAlign w:val="top"/>
          </w:tcPr>
          <w:p w14:paraId="4CED8719">
            <w:pPr>
              <w:spacing w:line="360" w:lineRule="exact"/>
              <w:jc w:val="center"/>
              <w:rPr>
                <w:rFonts w:hint="eastAsia" w:ascii="宋体" w:hAnsi="宋体" w:cs="宋体"/>
                <w:sz w:val="24"/>
                <w:highlight w:val="none"/>
              </w:rPr>
            </w:pPr>
            <w:r>
              <w:rPr>
                <w:rFonts w:hint="eastAsia" w:ascii="宋体" w:hAnsi="宋体" w:cs="宋体"/>
                <w:sz w:val="24"/>
                <w:highlight w:val="none"/>
              </w:rPr>
              <w:t>乙  方</w:t>
            </w:r>
          </w:p>
        </w:tc>
        <w:tc>
          <w:tcPr>
            <w:tcW w:w="3213" w:type="dxa"/>
            <w:noWrap w:val="0"/>
            <w:vAlign w:val="top"/>
          </w:tcPr>
          <w:p w14:paraId="6F5CE074">
            <w:pPr>
              <w:spacing w:line="360" w:lineRule="exact"/>
              <w:jc w:val="center"/>
              <w:rPr>
                <w:rFonts w:hint="eastAsia" w:ascii="宋体" w:hAnsi="宋体" w:cs="宋体"/>
                <w:sz w:val="24"/>
                <w:highlight w:val="none"/>
              </w:rPr>
            </w:pPr>
            <w:r>
              <w:rPr>
                <w:rFonts w:hint="eastAsia" w:ascii="宋体" w:hAnsi="宋体" w:cs="宋体"/>
                <w:sz w:val="24"/>
                <w:highlight w:val="none"/>
              </w:rPr>
              <w:t>确 认 方</w:t>
            </w:r>
          </w:p>
        </w:tc>
      </w:tr>
      <w:tr w14:paraId="315CC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3213" w:type="dxa"/>
            <w:noWrap w:val="0"/>
            <w:vAlign w:val="center"/>
          </w:tcPr>
          <w:p w14:paraId="353BB8F8">
            <w:pPr>
              <w:spacing w:line="360" w:lineRule="exact"/>
              <w:rPr>
                <w:rFonts w:hint="eastAsia" w:ascii="宋体" w:hAnsi="宋体" w:cs="宋体"/>
                <w:sz w:val="24"/>
                <w:highlight w:val="none"/>
              </w:rPr>
            </w:pPr>
            <w:r>
              <w:rPr>
                <w:rFonts w:hint="eastAsia" w:ascii="宋体" w:hAnsi="宋体" w:cs="宋体"/>
                <w:sz w:val="24"/>
                <w:highlight w:val="none"/>
              </w:rPr>
              <w:t>（盖章）</w:t>
            </w:r>
          </w:p>
        </w:tc>
        <w:tc>
          <w:tcPr>
            <w:tcW w:w="3212" w:type="dxa"/>
            <w:noWrap w:val="0"/>
            <w:vAlign w:val="center"/>
          </w:tcPr>
          <w:p w14:paraId="7006192A">
            <w:pPr>
              <w:spacing w:line="360" w:lineRule="exact"/>
              <w:jc w:val="center"/>
              <w:rPr>
                <w:rFonts w:hint="eastAsia" w:ascii="宋体" w:hAnsi="宋体" w:cs="宋体"/>
                <w:sz w:val="24"/>
                <w:highlight w:val="none"/>
              </w:rPr>
            </w:pPr>
            <w:r>
              <w:rPr>
                <w:rFonts w:hint="eastAsia" w:ascii="宋体" w:hAnsi="宋体" w:cs="宋体"/>
                <w:sz w:val="24"/>
                <w:highlight w:val="none"/>
              </w:rPr>
              <w:t>中标供应商全称（盖章）</w:t>
            </w:r>
          </w:p>
        </w:tc>
        <w:tc>
          <w:tcPr>
            <w:tcW w:w="3213" w:type="dxa"/>
            <w:noWrap w:val="0"/>
            <w:vAlign w:val="center"/>
          </w:tcPr>
          <w:p w14:paraId="216AE9CE">
            <w:pPr>
              <w:spacing w:line="360" w:lineRule="exact"/>
              <w:jc w:val="center"/>
              <w:rPr>
                <w:rFonts w:hint="eastAsia" w:ascii="宋体" w:hAnsi="宋体" w:cs="宋体"/>
                <w:sz w:val="24"/>
                <w:highlight w:val="none"/>
              </w:rPr>
            </w:pPr>
            <w:r>
              <w:rPr>
                <w:rFonts w:hint="eastAsia" w:ascii="宋体" w:hAnsi="宋体" w:cs="宋体"/>
                <w:sz w:val="24"/>
                <w:highlight w:val="none"/>
              </w:rPr>
              <w:t>（盖章）</w:t>
            </w:r>
          </w:p>
        </w:tc>
      </w:tr>
      <w:tr w14:paraId="2AC6D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3E848285">
            <w:pPr>
              <w:spacing w:line="360" w:lineRule="exact"/>
              <w:rPr>
                <w:rFonts w:hint="eastAsia" w:ascii="宋体" w:hAnsi="宋体" w:cs="宋体"/>
                <w:sz w:val="24"/>
                <w:highlight w:val="none"/>
              </w:rPr>
            </w:pPr>
            <w:r>
              <w:rPr>
                <w:rFonts w:hint="eastAsia" w:ascii="宋体" w:hAnsi="宋体" w:cs="宋体"/>
                <w:sz w:val="24"/>
                <w:highlight w:val="none"/>
              </w:rPr>
              <w:t xml:space="preserve">地址： </w:t>
            </w:r>
          </w:p>
        </w:tc>
        <w:tc>
          <w:tcPr>
            <w:tcW w:w="3212" w:type="dxa"/>
            <w:noWrap w:val="0"/>
            <w:vAlign w:val="top"/>
          </w:tcPr>
          <w:p w14:paraId="10FB405B">
            <w:pPr>
              <w:spacing w:line="360" w:lineRule="exact"/>
              <w:rPr>
                <w:rFonts w:hint="eastAsia" w:ascii="宋体" w:hAnsi="宋体" w:cs="宋体"/>
                <w:sz w:val="24"/>
                <w:highlight w:val="none"/>
              </w:rPr>
            </w:pPr>
            <w:r>
              <w:rPr>
                <w:rFonts w:hint="eastAsia" w:ascii="宋体" w:hAnsi="宋体" w:cs="宋体"/>
                <w:sz w:val="24"/>
                <w:highlight w:val="none"/>
              </w:rPr>
              <w:t>地址：</w:t>
            </w:r>
          </w:p>
        </w:tc>
        <w:tc>
          <w:tcPr>
            <w:tcW w:w="3213" w:type="dxa"/>
            <w:noWrap w:val="0"/>
            <w:vAlign w:val="top"/>
          </w:tcPr>
          <w:p w14:paraId="2329FD5F">
            <w:pPr>
              <w:spacing w:line="360" w:lineRule="exact"/>
              <w:rPr>
                <w:rFonts w:hint="eastAsia" w:ascii="宋体" w:hAnsi="宋体" w:cs="宋体"/>
                <w:sz w:val="24"/>
                <w:highlight w:val="none"/>
              </w:rPr>
            </w:pPr>
            <w:r>
              <w:rPr>
                <w:rFonts w:hint="eastAsia" w:ascii="宋体" w:hAnsi="宋体" w:cs="宋体"/>
                <w:sz w:val="24"/>
                <w:highlight w:val="none"/>
              </w:rPr>
              <w:t>地址：</w:t>
            </w:r>
          </w:p>
        </w:tc>
      </w:tr>
      <w:tr w14:paraId="3C57D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5EEF83F">
            <w:pPr>
              <w:spacing w:line="360" w:lineRule="exact"/>
              <w:rPr>
                <w:rFonts w:hint="eastAsia" w:ascii="宋体" w:hAnsi="宋体" w:cs="宋体"/>
                <w:sz w:val="24"/>
                <w:highlight w:val="none"/>
              </w:rPr>
            </w:pPr>
            <w:r>
              <w:rPr>
                <w:rFonts w:hint="eastAsia" w:ascii="宋体" w:hAnsi="宋体" w:cs="宋体"/>
                <w:sz w:val="24"/>
                <w:highlight w:val="none"/>
              </w:rPr>
              <w:t>邮编：</w:t>
            </w:r>
          </w:p>
        </w:tc>
        <w:tc>
          <w:tcPr>
            <w:tcW w:w="3212" w:type="dxa"/>
            <w:noWrap w:val="0"/>
            <w:vAlign w:val="top"/>
          </w:tcPr>
          <w:p w14:paraId="564579B1">
            <w:pPr>
              <w:spacing w:line="360" w:lineRule="exact"/>
              <w:rPr>
                <w:rFonts w:hint="eastAsia" w:ascii="宋体" w:hAnsi="宋体" w:cs="宋体"/>
                <w:sz w:val="24"/>
                <w:highlight w:val="none"/>
              </w:rPr>
            </w:pPr>
            <w:r>
              <w:rPr>
                <w:rFonts w:hint="eastAsia" w:ascii="宋体" w:hAnsi="宋体" w:cs="宋体"/>
                <w:sz w:val="24"/>
                <w:highlight w:val="none"/>
              </w:rPr>
              <w:t>邮编：</w:t>
            </w:r>
          </w:p>
        </w:tc>
        <w:tc>
          <w:tcPr>
            <w:tcW w:w="3213" w:type="dxa"/>
            <w:noWrap w:val="0"/>
            <w:vAlign w:val="top"/>
          </w:tcPr>
          <w:p w14:paraId="3046D605">
            <w:pPr>
              <w:spacing w:line="360" w:lineRule="exact"/>
              <w:rPr>
                <w:rFonts w:hint="eastAsia" w:ascii="宋体" w:hAnsi="宋体" w:cs="宋体"/>
                <w:sz w:val="24"/>
                <w:highlight w:val="none"/>
              </w:rPr>
            </w:pPr>
            <w:r>
              <w:rPr>
                <w:rFonts w:hint="eastAsia" w:ascii="宋体" w:hAnsi="宋体" w:cs="宋体"/>
                <w:sz w:val="24"/>
                <w:highlight w:val="none"/>
              </w:rPr>
              <w:t>邮编：</w:t>
            </w:r>
          </w:p>
        </w:tc>
      </w:tr>
      <w:tr w14:paraId="3C9BA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7F0D23C2">
            <w:pPr>
              <w:spacing w:line="360" w:lineRule="exact"/>
              <w:rPr>
                <w:rFonts w:hint="eastAsia" w:ascii="宋体" w:hAnsi="宋体" w:cs="宋体"/>
                <w:sz w:val="24"/>
                <w:highlight w:val="none"/>
              </w:rPr>
            </w:pPr>
            <w:r>
              <w:rPr>
                <w:rFonts w:hint="eastAsia" w:ascii="宋体" w:hAnsi="宋体" w:cs="宋体"/>
                <w:sz w:val="24"/>
                <w:highlight w:val="none"/>
              </w:rPr>
              <w:t xml:space="preserve">法定代表人： </w:t>
            </w:r>
          </w:p>
        </w:tc>
        <w:tc>
          <w:tcPr>
            <w:tcW w:w="3212" w:type="dxa"/>
            <w:noWrap w:val="0"/>
            <w:vAlign w:val="top"/>
          </w:tcPr>
          <w:p w14:paraId="153D3385">
            <w:pPr>
              <w:spacing w:line="360" w:lineRule="exact"/>
              <w:rPr>
                <w:rFonts w:hint="eastAsia" w:ascii="宋体" w:hAnsi="宋体" w:cs="宋体"/>
                <w:sz w:val="24"/>
                <w:highlight w:val="none"/>
              </w:rPr>
            </w:pPr>
            <w:r>
              <w:rPr>
                <w:rFonts w:hint="eastAsia" w:ascii="宋体" w:hAnsi="宋体" w:cs="宋体"/>
                <w:sz w:val="24"/>
                <w:highlight w:val="none"/>
              </w:rPr>
              <w:t>法定代表人：</w:t>
            </w:r>
          </w:p>
        </w:tc>
        <w:tc>
          <w:tcPr>
            <w:tcW w:w="3213" w:type="dxa"/>
            <w:noWrap w:val="0"/>
            <w:vAlign w:val="top"/>
          </w:tcPr>
          <w:p w14:paraId="78D7F0B4">
            <w:pPr>
              <w:spacing w:line="360" w:lineRule="exact"/>
              <w:rPr>
                <w:rFonts w:hint="eastAsia" w:ascii="宋体" w:hAnsi="宋体" w:cs="宋体"/>
                <w:sz w:val="24"/>
                <w:highlight w:val="none"/>
              </w:rPr>
            </w:pPr>
            <w:r>
              <w:rPr>
                <w:rFonts w:hint="eastAsia" w:ascii="宋体" w:hAnsi="宋体" w:cs="宋体"/>
                <w:sz w:val="24"/>
                <w:highlight w:val="none"/>
              </w:rPr>
              <w:t>法定代表人：</w:t>
            </w:r>
          </w:p>
        </w:tc>
      </w:tr>
      <w:tr w14:paraId="2C3EC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4773415E">
            <w:pPr>
              <w:spacing w:line="360" w:lineRule="exact"/>
              <w:rPr>
                <w:rFonts w:hint="eastAsia" w:ascii="宋体" w:hAnsi="宋体" w:cs="宋体"/>
                <w:sz w:val="24"/>
                <w:highlight w:val="none"/>
              </w:rPr>
            </w:pPr>
            <w:r>
              <w:rPr>
                <w:rFonts w:hint="eastAsia" w:ascii="宋体" w:hAnsi="宋体" w:cs="宋体"/>
                <w:sz w:val="24"/>
                <w:highlight w:val="none"/>
              </w:rPr>
              <w:t>被授权代表：（签字）</w:t>
            </w:r>
          </w:p>
        </w:tc>
        <w:tc>
          <w:tcPr>
            <w:tcW w:w="3212" w:type="dxa"/>
            <w:noWrap w:val="0"/>
            <w:vAlign w:val="top"/>
          </w:tcPr>
          <w:p w14:paraId="414A7FB6">
            <w:pPr>
              <w:spacing w:line="360" w:lineRule="exact"/>
              <w:rPr>
                <w:rFonts w:hint="eastAsia" w:ascii="宋体" w:hAnsi="宋体" w:cs="宋体"/>
                <w:sz w:val="24"/>
                <w:highlight w:val="none"/>
              </w:rPr>
            </w:pPr>
            <w:r>
              <w:rPr>
                <w:rFonts w:hint="eastAsia" w:ascii="宋体" w:hAnsi="宋体" w:cs="宋体"/>
                <w:sz w:val="24"/>
                <w:highlight w:val="none"/>
              </w:rPr>
              <w:t>被授权代表：（签字）</w:t>
            </w:r>
          </w:p>
        </w:tc>
        <w:tc>
          <w:tcPr>
            <w:tcW w:w="3213" w:type="dxa"/>
            <w:noWrap w:val="0"/>
            <w:vAlign w:val="top"/>
          </w:tcPr>
          <w:p w14:paraId="517A90DA">
            <w:pPr>
              <w:spacing w:line="360" w:lineRule="exact"/>
              <w:rPr>
                <w:rFonts w:hint="eastAsia" w:ascii="宋体" w:hAnsi="宋体" w:cs="宋体"/>
                <w:sz w:val="24"/>
                <w:highlight w:val="none"/>
              </w:rPr>
            </w:pPr>
            <w:r>
              <w:rPr>
                <w:rFonts w:hint="eastAsia" w:ascii="宋体" w:hAnsi="宋体" w:cs="宋体"/>
                <w:sz w:val="24"/>
                <w:highlight w:val="none"/>
              </w:rPr>
              <w:t>承办人：（签字）</w:t>
            </w:r>
          </w:p>
        </w:tc>
      </w:tr>
      <w:tr w14:paraId="2D3F1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5138A914">
            <w:pPr>
              <w:spacing w:line="360" w:lineRule="exact"/>
              <w:rPr>
                <w:rFonts w:hint="eastAsia" w:ascii="宋体" w:hAnsi="宋体" w:cs="宋体"/>
                <w:sz w:val="24"/>
                <w:highlight w:val="none"/>
              </w:rPr>
            </w:pPr>
            <w:r>
              <w:rPr>
                <w:rFonts w:hint="eastAsia" w:ascii="宋体" w:hAnsi="宋体" w:cs="宋体"/>
                <w:sz w:val="24"/>
                <w:highlight w:val="none"/>
              </w:rPr>
              <w:t>电话：</w:t>
            </w:r>
          </w:p>
        </w:tc>
        <w:tc>
          <w:tcPr>
            <w:tcW w:w="3212" w:type="dxa"/>
            <w:noWrap w:val="0"/>
            <w:vAlign w:val="top"/>
          </w:tcPr>
          <w:p w14:paraId="4501A786">
            <w:pPr>
              <w:spacing w:line="360" w:lineRule="exact"/>
              <w:rPr>
                <w:rFonts w:hint="eastAsia" w:ascii="宋体" w:hAnsi="宋体" w:cs="宋体"/>
                <w:sz w:val="24"/>
                <w:highlight w:val="none"/>
              </w:rPr>
            </w:pPr>
            <w:r>
              <w:rPr>
                <w:rFonts w:hint="eastAsia" w:ascii="宋体" w:hAnsi="宋体" w:cs="宋体"/>
                <w:sz w:val="24"/>
                <w:highlight w:val="none"/>
              </w:rPr>
              <w:t>电话：</w:t>
            </w:r>
          </w:p>
        </w:tc>
        <w:tc>
          <w:tcPr>
            <w:tcW w:w="3213" w:type="dxa"/>
            <w:noWrap w:val="0"/>
            <w:vAlign w:val="top"/>
          </w:tcPr>
          <w:p w14:paraId="66E69DBD">
            <w:pPr>
              <w:spacing w:line="360" w:lineRule="exact"/>
              <w:rPr>
                <w:rFonts w:hint="eastAsia" w:ascii="宋体" w:hAnsi="宋体" w:cs="宋体"/>
                <w:sz w:val="24"/>
                <w:highlight w:val="none"/>
              </w:rPr>
            </w:pPr>
            <w:r>
              <w:rPr>
                <w:rFonts w:hint="eastAsia" w:ascii="宋体" w:hAnsi="宋体" w:cs="宋体"/>
                <w:sz w:val="24"/>
                <w:highlight w:val="none"/>
              </w:rPr>
              <w:t>电话：</w:t>
            </w:r>
          </w:p>
        </w:tc>
      </w:tr>
      <w:tr w14:paraId="045DD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46932F71">
            <w:pPr>
              <w:spacing w:line="360" w:lineRule="exact"/>
              <w:rPr>
                <w:rFonts w:hint="eastAsia" w:ascii="宋体" w:hAnsi="宋体" w:cs="宋体"/>
                <w:sz w:val="24"/>
                <w:highlight w:val="none"/>
              </w:rPr>
            </w:pPr>
            <w:r>
              <w:rPr>
                <w:rFonts w:hint="eastAsia" w:ascii="宋体" w:hAnsi="宋体" w:cs="宋体"/>
                <w:sz w:val="24"/>
                <w:highlight w:val="none"/>
              </w:rPr>
              <w:t>传真：</w:t>
            </w:r>
          </w:p>
        </w:tc>
        <w:tc>
          <w:tcPr>
            <w:tcW w:w="3212" w:type="dxa"/>
            <w:noWrap w:val="0"/>
            <w:vAlign w:val="top"/>
          </w:tcPr>
          <w:p w14:paraId="0C116823">
            <w:pPr>
              <w:spacing w:line="360" w:lineRule="exact"/>
              <w:rPr>
                <w:rFonts w:hint="eastAsia" w:ascii="宋体" w:hAnsi="宋体" w:cs="宋体"/>
                <w:sz w:val="24"/>
                <w:highlight w:val="none"/>
              </w:rPr>
            </w:pPr>
            <w:r>
              <w:rPr>
                <w:rFonts w:hint="eastAsia" w:ascii="宋体" w:hAnsi="宋体" w:cs="宋体"/>
                <w:sz w:val="24"/>
                <w:highlight w:val="none"/>
              </w:rPr>
              <w:t>传真：</w:t>
            </w:r>
          </w:p>
        </w:tc>
        <w:tc>
          <w:tcPr>
            <w:tcW w:w="3213" w:type="dxa"/>
            <w:noWrap w:val="0"/>
            <w:vAlign w:val="top"/>
          </w:tcPr>
          <w:p w14:paraId="7D18827C">
            <w:pPr>
              <w:spacing w:line="360" w:lineRule="exact"/>
              <w:rPr>
                <w:rFonts w:hint="eastAsia" w:ascii="宋体" w:hAnsi="宋体" w:cs="宋体"/>
                <w:sz w:val="24"/>
                <w:highlight w:val="none"/>
              </w:rPr>
            </w:pPr>
            <w:r>
              <w:rPr>
                <w:rFonts w:hint="eastAsia" w:ascii="宋体" w:hAnsi="宋体" w:cs="宋体"/>
                <w:sz w:val="24"/>
                <w:highlight w:val="none"/>
              </w:rPr>
              <w:t>传真：</w:t>
            </w:r>
          </w:p>
        </w:tc>
      </w:tr>
      <w:tr w14:paraId="508CF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43431536">
            <w:pPr>
              <w:spacing w:line="360" w:lineRule="exact"/>
              <w:rPr>
                <w:rFonts w:hint="eastAsia" w:ascii="宋体" w:hAnsi="宋体" w:cs="宋体"/>
                <w:sz w:val="24"/>
                <w:highlight w:val="none"/>
              </w:rPr>
            </w:pPr>
          </w:p>
        </w:tc>
        <w:tc>
          <w:tcPr>
            <w:tcW w:w="3212" w:type="dxa"/>
            <w:noWrap w:val="0"/>
            <w:vAlign w:val="top"/>
          </w:tcPr>
          <w:p w14:paraId="5EC243EC">
            <w:pPr>
              <w:spacing w:line="360" w:lineRule="exact"/>
              <w:rPr>
                <w:rFonts w:hint="eastAsia" w:ascii="宋体" w:hAnsi="宋体" w:cs="宋体"/>
                <w:sz w:val="24"/>
                <w:highlight w:val="none"/>
              </w:rPr>
            </w:pPr>
            <w:r>
              <w:rPr>
                <w:rFonts w:hint="eastAsia" w:ascii="宋体" w:hAnsi="宋体" w:cs="宋体"/>
                <w:sz w:val="24"/>
                <w:highlight w:val="none"/>
              </w:rPr>
              <w:t>开户银行：</w:t>
            </w:r>
          </w:p>
        </w:tc>
        <w:tc>
          <w:tcPr>
            <w:tcW w:w="3213" w:type="dxa"/>
            <w:noWrap w:val="0"/>
            <w:vAlign w:val="top"/>
          </w:tcPr>
          <w:p w14:paraId="188664BB">
            <w:pPr>
              <w:spacing w:line="360" w:lineRule="exact"/>
              <w:rPr>
                <w:rFonts w:hint="eastAsia" w:ascii="宋体" w:hAnsi="宋体" w:cs="宋体"/>
                <w:sz w:val="24"/>
                <w:highlight w:val="none"/>
              </w:rPr>
            </w:pPr>
          </w:p>
        </w:tc>
      </w:tr>
      <w:tr w14:paraId="665B9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3213" w:type="dxa"/>
            <w:noWrap w:val="0"/>
            <w:vAlign w:val="top"/>
          </w:tcPr>
          <w:p w14:paraId="60AA21C3">
            <w:pPr>
              <w:spacing w:line="360" w:lineRule="exact"/>
              <w:rPr>
                <w:rFonts w:hint="eastAsia" w:ascii="宋体" w:hAnsi="宋体" w:cs="宋体"/>
                <w:sz w:val="24"/>
                <w:highlight w:val="none"/>
              </w:rPr>
            </w:pPr>
          </w:p>
        </w:tc>
        <w:tc>
          <w:tcPr>
            <w:tcW w:w="3212" w:type="dxa"/>
            <w:noWrap w:val="0"/>
            <w:vAlign w:val="top"/>
          </w:tcPr>
          <w:p w14:paraId="6038E448">
            <w:pPr>
              <w:spacing w:line="360" w:lineRule="exact"/>
              <w:rPr>
                <w:rFonts w:hint="eastAsia" w:ascii="宋体" w:hAnsi="宋体" w:cs="宋体"/>
                <w:sz w:val="24"/>
                <w:highlight w:val="none"/>
              </w:rPr>
            </w:pPr>
            <w:r>
              <w:rPr>
                <w:rFonts w:hint="eastAsia" w:ascii="宋体" w:hAnsi="宋体" w:cs="宋体"/>
                <w:sz w:val="24"/>
                <w:highlight w:val="none"/>
                <w:lang w:eastAsia="zh-CN"/>
              </w:rPr>
              <w:t>账号</w:t>
            </w:r>
            <w:r>
              <w:rPr>
                <w:rFonts w:hint="eastAsia" w:ascii="宋体" w:hAnsi="宋体" w:cs="宋体"/>
                <w:sz w:val="24"/>
                <w:highlight w:val="none"/>
              </w:rPr>
              <w:t>：</w:t>
            </w:r>
          </w:p>
        </w:tc>
        <w:tc>
          <w:tcPr>
            <w:tcW w:w="3213" w:type="dxa"/>
            <w:noWrap w:val="0"/>
            <w:vAlign w:val="top"/>
          </w:tcPr>
          <w:p w14:paraId="0D495090">
            <w:pPr>
              <w:spacing w:line="360" w:lineRule="exact"/>
              <w:rPr>
                <w:rFonts w:hint="eastAsia" w:ascii="宋体" w:hAnsi="宋体" w:cs="宋体"/>
                <w:sz w:val="24"/>
                <w:highlight w:val="none"/>
              </w:rPr>
            </w:pPr>
          </w:p>
        </w:tc>
      </w:tr>
      <w:tr w14:paraId="1322D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3213" w:type="dxa"/>
            <w:noWrap w:val="0"/>
            <w:vAlign w:val="top"/>
          </w:tcPr>
          <w:p w14:paraId="137E21FD">
            <w:pPr>
              <w:spacing w:line="360" w:lineRule="exact"/>
              <w:rPr>
                <w:rFonts w:hint="eastAsia" w:ascii="宋体" w:hAnsi="宋体" w:cs="宋体"/>
                <w:sz w:val="24"/>
                <w:highlight w:val="none"/>
              </w:rPr>
            </w:pPr>
            <w:r>
              <w:rPr>
                <w:rFonts w:hint="eastAsia" w:ascii="宋体" w:hAnsi="宋体" w:cs="宋体"/>
                <w:sz w:val="24"/>
                <w:highlight w:val="none"/>
              </w:rPr>
              <w:t>日期：    年   月   日</w:t>
            </w:r>
          </w:p>
        </w:tc>
        <w:tc>
          <w:tcPr>
            <w:tcW w:w="3212" w:type="dxa"/>
            <w:noWrap w:val="0"/>
            <w:vAlign w:val="top"/>
          </w:tcPr>
          <w:p w14:paraId="726832BD">
            <w:pPr>
              <w:spacing w:line="360" w:lineRule="exact"/>
              <w:rPr>
                <w:rFonts w:hint="eastAsia" w:ascii="宋体" w:hAnsi="宋体" w:cs="宋体"/>
                <w:sz w:val="24"/>
                <w:highlight w:val="none"/>
              </w:rPr>
            </w:pPr>
            <w:r>
              <w:rPr>
                <w:rFonts w:hint="eastAsia" w:ascii="宋体" w:hAnsi="宋体" w:cs="宋体"/>
                <w:sz w:val="24"/>
                <w:highlight w:val="none"/>
              </w:rPr>
              <w:t>日期：    年   月   日</w:t>
            </w:r>
          </w:p>
        </w:tc>
        <w:tc>
          <w:tcPr>
            <w:tcW w:w="3213" w:type="dxa"/>
            <w:noWrap w:val="0"/>
            <w:vAlign w:val="top"/>
          </w:tcPr>
          <w:p w14:paraId="242885D7">
            <w:pPr>
              <w:spacing w:line="360" w:lineRule="exact"/>
              <w:rPr>
                <w:rFonts w:hint="eastAsia" w:ascii="宋体" w:hAnsi="宋体" w:cs="宋体"/>
                <w:sz w:val="24"/>
                <w:highlight w:val="none"/>
              </w:rPr>
            </w:pPr>
            <w:r>
              <w:rPr>
                <w:rFonts w:hint="eastAsia" w:ascii="宋体" w:hAnsi="宋体" w:cs="宋体"/>
                <w:sz w:val="24"/>
                <w:highlight w:val="none"/>
              </w:rPr>
              <w:t>日期：    年   月   日</w:t>
            </w:r>
          </w:p>
        </w:tc>
      </w:tr>
    </w:tbl>
    <w:p w14:paraId="1DA907B3">
      <w:bookmarkStart w:id="70" w:name="_GoBack"/>
      <w:bookmarkEnd w:id="7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4A086D"/>
    <w:rsid w:val="067250B2"/>
    <w:rsid w:val="604A0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spacing w:line="240" w:lineRule="auto"/>
      <w:ind w:left="1260" w:leftChars="600"/>
    </w:pPr>
  </w:style>
  <w:style w:type="paragraph" w:styleId="5">
    <w:name w:val="Body Text"/>
    <w:basedOn w:val="1"/>
    <w:uiPriority w:val="0"/>
    <w:pPr>
      <w:spacing w:after="120" w:afterLines="0" w:afterAutospacing="0"/>
    </w:pPr>
  </w:style>
  <w:style w:type="paragraph" w:customStyle="1" w:styleId="8">
    <w:name w:val="样式 首行缩进:  2 字符"/>
    <w:basedOn w:val="1"/>
    <w:qFormat/>
    <w:uiPriority w:val="0"/>
    <w:pPr>
      <w:spacing w:line="400" w:lineRule="exact"/>
      <w:ind w:firstLine="200" w:firstLineChars="200"/>
    </w:pPr>
    <w:rPr>
      <w:rFonts w:ascii="Times New Roman" w:hAnsi="Times New Roman"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2025-11-06T10:28:00Z</dcterms:created>
  <dc:creator>美丽世界的孤儿</dc:creator>
  <cp:lastModifiedBy>美丽世界的孤儿</cp:lastModifiedBy>
  <dcterms:modified xsi:type="dcterms:W3CDTF">2025-11-06T10:28:39Z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17135C2AF29C410397E8A7D8863421E5_11</vt:lpwstr>
  </property>
  <property fmtid="{D5CDD505-2E9C-101B-9397-08002B2CF9AE}" pid="4" name="KSOTemplateDocerSaveRecord">
    <vt:lpwstr>eyJoZGlkIjoiMjAzODA3YTY5YzMwNGEzZjM1OGI5N2E3ZDFkZjZmOTMiLCJ1c2VySWQiOiI1ODk1MDMxMTQifQ==</vt:lpwstr>
  </property>
</Properties>
</file>