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版本号：2025-（280）1417-CG（46）9220251211001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勉县元墩镇2025年度建制镇镇区基础设施建设项目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2025-（280）1417-CG（46）92</w:t>
      </w:r>
      <w:r>
        <w:br/>
      </w:r>
      <w:r>
        <w:br/>
      </w:r>
      <w:r>
        <w:br/>
      </w:r>
    </w:p>
    <w:p>
      <w:pPr>
        <w:pStyle w:val="null3"/>
        <w:jc w:val="center"/>
        <w:outlineLvl w:val="2"/>
      </w:pPr>
      <w:r>
        <w:rPr>
          <w:rFonts w:ascii="仿宋_GB2312" w:hAnsi="仿宋_GB2312" w:cs="仿宋_GB2312" w:eastAsia="仿宋_GB2312"/>
          <w:sz w:val="28"/>
          <w:b/>
        </w:rPr>
        <w:t>勉县元墩镇人民政府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勉县元墩镇人民政府</w:t>
      </w:r>
      <w:r>
        <w:rPr>
          <w:rFonts w:ascii="仿宋_GB2312" w:hAnsi="仿宋_GB2312" w:cs="仿宋_GB2312" w:eastAsia="仿宋_GB2312"/>
        </w:rPr>
        <w:t>委托，拟对</w:t>
      </w:r>
      <w:r>
        <w:rPr>
          <w:rFonts w:ascii="仿宋_GB2312" w:hAnsi="仿宋_GB2312" w:cs="仿宋_GB2312" w:eastAsia="仿宋_GB2312"/>
        </w:rPr>
        <w:t>勉县元墩镇2025年度建制镇镇区基础设施建设项目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2025-（280）1417-CG（46）92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勉县元墩镇2025年度建制镇镇区基础设施建设项目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彩色沥青步道902㎡，铺设沥青混凝土路面(白改黑)9650㎡，划设道路标线331㎡;增设水泥警示桩108个，安装路缘石152m、C级波形护栏20m;弱电管网904m、检查井19座M7.5浆砌片石221m³;拆除重建钢结构农贸市场800㎡;改造镇区两侧建筑物立面6256㎡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采购包1（勉县元墩镇2025年度建制镇镇区基础设施建设项目（集镇路网体系改造提升工程））：属于专门面向中小企业采购。</w:t>
      </w:r>
    </w:p>
    <w:p>
      <w:pPr>
        <w:pStyle w:val="null3"/>
      </w:pPr>
      <w:r>
        <w:rPr>
          <w:rFonts w:ascii="仿宋_GB2312" w:hAnsi="仿宋_GB2312" w:cs="仿宋_GB2312" w:eastAsia="仿宋_GB2312"/>
        </w:rPr>
        <w:t>采购包2（勉县元墩镇2025年度建制镇镇区基础设施建设项目（集镇风貌改造提升工程））：属于专门面向中小企业采购。</w:t>
      </w:r>
    </w:p>
    <w:p>
      <w:pPr>
        <w:pStyle w:val="null3"/>
      </w:pPr>
      <w:r>
        <w:rPr>
          <w:rFonts w:ascii="仿宋_GB2312" w:hAnsi="仿宋_GB2312" w:cs="仿宋_GB2312" w:eastAsia="仿宋_GB2312"/>
        </w:rPr>
        <w:t>采购包3（勉县元墩镇2025年度建制镇镇区基础设施建设项目（集镇农贸市场改造提升工程））：属于专门面向中小企业采购。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市政公用工程施工总承包三级及以上资质，并具备有效的安全生产许可证；拟派项目经理须具备市政公用工程专业二级及以上注册建造师执业资格和有效的安全生产考核合格证书（建安B证），且在本单位注册、无在建工程，提供相关证书及项目经理无在建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勉县元墩镇人民政府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元墩镇喇家寨社区4组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勉县元墩镇人民政府经办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13759803561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采购包1：1,804,646.15元</w:t>
            </w:r>
          </w:p>
          <w:p>
            <w:pPr>
              <w:pStyle w:val="null3"/>
            </w:pPr>
            <w:r>
              <w:rPr>
                <w:rFonts w:ascii="仿宋_GB2312" w:hAnsi="仿宋_GB2312" w:cs="仿宋_GB2312" w:eastAsia="仿宋_GB2312"/>
              </w:rPr>
              <w:t>采购包2：1,116,333.36元</w:t>
            </w:r>
          </w:p>
          <w:p>
            <w:pPr>
              <w:pStyle w:val="null3"/>
            </w:pPr>
            <w:r>
              <w:rPr>
                <w:rFonts w:ascii="仿宋_GB2312" w:hAnsi="仿宋_GB2312" w:cs="仿宋_GB2312" w:eastAsia="仿宋_GB2312"/>
              </w:rPr>
              <w:t>采购包3：832,098.49元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勉县元墩镇人民政府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勉县元墩镇人民政府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勉县元墩镇人民政府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参照合同约定与强制性规范执行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1,804,646.15</w:t>
      </w:r>
    </w:p>
    <w:p>
      <w:pPr>
        <w:pStyle w:val="null3"/>
      </w:pPr>
      <w:r>
        <w:rPr>
          <w:rFonts w:ascii="仿宋_GB2312" w:hAnsi="仿宋_GB2312" w:cs="仿宋_GB2312" w:eastAsia="仿宋_GB2312"/>
        </w:rPr>
        <w:t>采购包最高限价（元）: 1,804,646.15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勉县元墩镇2025年度建制镇镇区基础设施建设项目(集镇路网体系改造提升工程)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1,804,646.15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1,116,333.36</w:t>
      </w:r>
    </w:p>
    <w:p>
      <w:pPr>
        <w:pStyle w:val="null3"/>
      </w:pPr>
      <w:r>
        <w:rPr>
          <w:rFonts w:ascii="仿宋_GB2312" w:hAnsi="仿宋_GB2312" w:cs="仿宋_GB2312" w:eastAsia="仿宋_GB2312"/>
        </w:rPr>
        <w:t>采购包最高限价（元）: 1,116,333.36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勉县元墩镇2025年度建制镇镇区基础设施建设项目(集镇风貌改造提升 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1,116,333.36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832,098.49</w:t>
      </w:r>
    </w:p>
    <w:p>
      <w:pPr>
        <w:pStyle w:val="null3"/>
      </w:pPr>
      <w:r>
        <w:rPr>
          <w:rFonts w:ascii="仿宋_GB2312" w:hAnsi="仿宋_GB2312" w:cs="仿宋_GB2312" w:eastAsia="仿宋_GB2312"/>
        </w:rPr>
        <w:t>采购包最高限价（元）: 832,098.49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勉县元墩镇2025年度建制镇镇区基础设施建设项目(集镇农贸市场改造提升工程)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832,098.49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标的名称：勉县元墩镇2025年度建制镇镇区基础设施建设项目(集镇路网体系改造提升工程)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一、工程概况</w:t>
            </w:r>
          </w:p>
          <w:p>
            <w:pPr>
              <w:pStyle w:val="null3"/>
              <w:ind w:firstLine="420"/>
              <w:jc w:val="both"/>
            </w:pPr>
            <w:r>
              <w:rPr>
                <w:rFonts w:ascii="仿宋_GB2312" w:hAnsi="仿宋_GB2312" w:cs="仿宋_GB2312" w:eastAsia="仿宋_GB2312"/>
                <w:sz w:val="21"/>
                <w:color w:val="000000"/>
              </w:rPr>
              <w:t>新铺沥青道路长</w:t>
            </w:r>
            <w:r>
              <w:rPr>
                <w:rFonts w:ascii="仿宋_GB2312" w:hAnsi="仿宋_GB2312" w:cs="仿宋_GB2312" w:eastAsia="仿宋_GB2312"/>
                <w:sz w:val="21"/>
                <w:color w:val="000000"/>
              </w:rPr>
              <w:t>1000米共9650平方米、新建步道长560米共900平方米、新建浆砌石挡墙220立方米、弱电改造1000米、弱电井19座、新建0.3米波纹管长60米、新建雨水井8座、修复检查井45座、修复道路警示桩108个、新建路缘石150米。</w:t>
            </w:r>
          </w:p>
          <w:p>
            <w:pPr>
              <w:pStyle w:val="null3"/>
              <w:jc w:val="both"/>
            </w:pPr>
            <w:r>
              <w:rPr>
                <w:rFonts w:ascii="仿宋_GB2312" w:hAnsi="仿宋_GB2312" w:cs="仿宋_GB2312" w:eastAsia="仿宋_GB2312"/>
                <w:sz w:val="21"/>
                <w:color w:val="000000"/>
              </w:rPr>
              <w:t>二、编制范围</w:t>
            </w:r>
          </w:p>
          <w:p>
            <w:pPr>
              <w:pStyle w:val="null3"/>
              <w:ind w:firstLine="420"/>
              <w:jc w:val="both"/>
            </w:pPr>
            <w:r>
              <w:rPr>
                <w:rFonts w:ascii="仿宋_GB2312" w:hAnsi="仿宋_GB2312" w:cs="仿宋_GB2312" w:eastAsia="仿宋_GB2312"/>
                <w:sz w:val="21"/>
                <w:color w:val="000000"/>
              </w:rPr>
              <w:t>详见工程量清单。</w:t>
            </w:r>
          </w:p>
          <w:p>
            <w:pPr>
              <w:pStyle w:val="null3"/>
              <w:jc w:val="both"/>
            </w:pPr>
            <w:r>
              <w:rPr>
                <w:rFonts w:ascii="仿宋_GB2312" w:hAnsi="仿宋_GB2312" w:cs="仿宋_GB2312" w:eastAsia="仿宋_GB2312"/>
                <w:sz w:val="21"/>
                <w:color w:val="000000"/>
              </w:rPr>
              <w:t>三、编制依据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color w:val="000000"/>
              </w:rPr>
              <w:t>《房屋建筑与装饰工程工程量计算标准》（</w:t>
            </w:r>
            <w:r>
              <w:rPr>
                <w:rFonts w:ascii="仿宋_GB2312" w:hAnsi="仿宋_GB2312" w:cs="仿宋_GB2312" w:eastAsia="仿宋_GB2312"/>
                <w:sz w:val="21"/>
                <w:color w:val="000000"/>
              </w:rPr>
              <w:t>DB 61/T 5129-2025）；</w:t>
            </w:r>
          </w:p>
          <w:p>
            <w:pPr>
              <w:pStyle w:val="null3"/>
              <w:ind w:firstLine="420"/>
              <w:jc w:val="both"/>
            </w:pPr>
            <w:r>
              <w:rPr>
                <w:rFonts w:ascii="仿宋_GB2312" w:hAnsi="仿宋_GB2312" w:cs="仿宋_GB2312" w:eastAsia="仿宋_GB2312"/>
                <w:sz w:val="21"/>
                <w:color w:val="000000"/>
              </w:rPr>
              <w:t>2.《通用安装工程工程量计算标准》（DB 61/T 5130-2025）；</w:t>
            </w:r>
          </w:p>
          <w:p>
            <w:pPr>
              <w:pStyle w:val="null3"/>
              <w:ind w:firstLine="420"/>
              <w:jc w:val="both"/>
            </w:pPr>
            <w:r>
              <w:rPr>
                <w:rFonts w:ascii="仿宋_GB2312" w:hAnsi="仿宋_GB2312" w:cs="仿宋_GB2312" w:eastAsia="仿宋_GB2312"/>
                <w:sz w:val="21"/>
                <w:color w:val="000000"/>
              </w:rPr>
              <w:t>3.《市政工程工程量计算标准》（DB 61/T 5128-2025）；</w:t>
            </w:r>
          </w:p>
          <w:p>
            <w:pPr>
              <w:pStyle w:val="null3"/>
              <w:ind w:firstLine="420"/>
              <w:jc w:val="both"/>
            </w:pPr>
            <w:r>
              <w:rPr>
                <w:rFonts w:ascii="仿宋_GB2312" w:hAnsi="仿宋_GB2312" w:cs="仿宋_GB2312" w:eastAsia="仿宋_GB2312"/>
                <w:sz w:val="21"/>
                <w:color w:val="000000"/>
              </w:rPr>
              <w:t>4.《建设工程工程量清单计价标准》（GB/T 50500-2024）；</w:t>
            </w:r>
          </w:p>
          <w:p>
            <w:pPr>
              <w:pStyle w:val="null3"/>
              <w:ind w:firstLine="420"/>
              <w:jc w:val="both"/>
            </w:pPr>
            <w:r>
              <w:rPr>
                <w:rFonts w:ascii="仿宋_GB2312" w:hAnsi="仿宋_GB2312" w:cs="仿宋_GB2312" w:eastAsia="仿宋_GB2312"/>
                <w:sz w:val="21"/>
                <w:color w:val="000000"/>
              </w:rPr>
              <w:t>5.《建设工程工程量清单计价标准》（DB 61/T 5126-2025）；</w:t>
            </w:r>
          </w:p>
          <w:p>
            <w:pPr>
              <w:pStyle w:val="null3"/>
              <w:ind w:firstLine="420"/>
              <w:jc w:val="both"/>
            </w:pPr>
            <w:r>
              <w:rPr>
                <w:rFonts w:ascii="仿宋_GB2312" w:hAnsi="仿宋_GB2312" w:cs="仿宋_GB2312" w:eastAsia="仿宋_GB2312"/>
                <w:sz w:val="21"/>
                <w:color w:val="000000"/>
              </w:rPr>
              <w:t>6.《陕西省建设工程费用规则》（2025） ；</w:t>
            </w:r>
          </w:p>
          <w:p>
            <w:pPr>
              <w:pStyle w:val="null3"/>
              <w:ind w:firstLine="420"/>
              <w:jc w:val="both"/>
            </w:pPr>
            <w:r>
              <w:rPr>
                <w:rFonts w:ascii="仿宋_GB2312" w:hAnsi="仿宋_GB2312" w:cs="仿宋_GB2312" w:eastAsia="仿宋_GB2312"/>
                <w:sz w:val="21"/>
                <w:color w:val="000000"/>
              </w:rPr>
              <w:t>7.《陕西省房屋建筑与装饰工程消耗量定额》（2025）；</w:t>
            </w:r>
          </w:p>
          <w:p>
            <w:pPr>
              <w:pStyle w:val="null3"/>
              <w:ind w:firstLine="420"/>
              <w:jc w:val="both"/>
            </w:pPr>
            <w:r>
              <w:rPr>
                <w:rFonts w:ascii="仿宋_GB2312" w:hAnsi="仿宋_GB2312" w:cs="仿宋_GB2312" w:eastAsia="仿宋_GB2312"/>
                <w:sz w:val="21"/>
                <w:color w:val="000000"/>
              </w:rPr>
              <w:t>8.《陕西省建设工程施工机械台班费用定额》（2025）；</w:t>
            </w:r>
          </w:p>
          <w:p>
            <w:pPr>
              <w:pStyle w:val="null3"/>
              <w:ind w:firstLine="420"/>
              <w:jc w:val="both"/>
            </w:pPr>
            <w:r>
              <w:rPr>
                <w:rFonts w:ascii="仿宋_GB2312" w:hAnsi="仿宋_GB2312" w:cs="仿宋_GB2312" w:eastAsia="仿宋_GB2312"/>
                <w:sz w:val="21"/>
                <w:color w:val="000000"/>
              </w:rPr>
              <w:t>9.《陕西省通用安装工程消耗量定额》（2025）。</w:t>
            </w:r>
          </w:p>
          <w:p>
            <w:pPr>
              <w:pStyle w:val="null3"/>
              <w:jc w:val="both"/>
            </w:pPr>
            <w:r>
              <w:rPr>
                <w:rFonts w:ascii="仿宋_GB2312" w:hAnsi="仿宋_GB2312" w:cs="仿宋_GB2312" w:eastAsia="仿宋_GB2312"/>
                <w:sz w:val="21"/>
                <w:color w:val="000000"/>
              </w:rPr>
              <w:t>四、其他说明</w:t>
            </w:r>
          </w:p>
          <w:p>
            <w:pPr>
              <w:pStyle w:val="null3"/>
              <w:ind w:firstLine="420"/>
              <w:jc w:val="both"/>
            </w:pPr>
            <w:r>
              <w:rPr>
                <w:rFonts w:ascii="仿宋_GB2312" w:hAnsi="仿宋_GB2312" w:cs="仿宋_GB2312" w:eastAsia="仿宋_GB2312"/>
                <w:sz w:val="21"/>
                <w:color w:val="000000"/>
              </w:rPr>
              <w:t>1、弃渣运距暂定5km；</w:t>
            </w:r>
          </w:p>
          <w:p>
            <w:pPr>
              <w:pStyle w:val="null3"/>
              <w:ind w:firstLine="420"/>
              <w:jc w:val="both"/>
            </w:pPr>
            <w:r>
              <w:rPr>
                <w:rFonts w:ascii="仿宋_GB2312" w:hAnsi="仿宋_GB2312" w:cs="仿宋_GB2312" w:eastAsia="仿宋_GB2312"/>
                <w:sz w:val="21"/>
                <w:color w:val="000000"/>
              </w:rPr>
              <w:t>2、暂列金：40000元；</w:t>
            </w:r>
          </w:p>
          <w:p>
            <w:pPr>
              <w:pStyle w:val="null3"/>
              <w:ind w:firstLine="420"/>
              <w:jc w:val="both"/>
            </w:pPr>
            <w:r>
              <w:rPr>
                <w:rFonts w:ascii="仿宋_GB2312" w:hAnsi="仿宋_GB2312" w:cs="仿宋_GB2312" w:eastAsia="仿宋_GB2312"/>
                <w:sz w:val="21"/>
                <w:color w:val="000000"/>
              </w:rPr>
              <w:t>3、其他未说明详见工程量清单。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标的名称：勉县元墩镇2025年度建制镇镇区基础设施建设项目(集镇风貌改造提升 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一、工程概况</w:t>
            </w:r>
          </w:p>
          <w:p>
            <w:pPr>
              <w:pStyle w:val="null3"/>
              <w:ind w:firstLine="420"/>
              <w:jc w:val="both"/>
            </w:pPr>
            <w:r>
              <w:rPr>
                <w:rFonts w:ascii="仿宋_GB2312" w:hAnsi="仿宋_GB2312" w:cs="仿宋_GB2312" w:eastAsia="仿宋_GB2312"/>
                <w:sz w:val="21"/>
                <w:color w:val="000000"/>
              </w:rPr>
              <w:t>外立面改造</w:t>
            </w:r>
            <w:r>
              <w:rPr>
                <w:rFonts w:ascii="仿宋_GB2312" w:hAnsi="仿宋_GB2312" w:cs="仿宋_GB2312" w:eastAsia="仿宋_GB2312"/>
                <w:sz w:val="21"/>
                <w:color w:val="000000"/>
              </w:rPr>
              <w:t>6200平方米、室内改造2000平方米。</w:t>
            </w:r>
          </w:p>
          <w:p>
            <w:pPr>
              <w:pStyle w:val="null3"/>
              <w:jc w:val="both"/>
            </w:pPr>
            <w:r>
              <w:rPr>
                <w:rFonts w:ascii="仿宋_GB2312" w:hAnsi="仿宋_GB2312" w:cs="仿宋_GB2312" w:eastAsia="仿宋_GB2312"/>
                <w:sz w:val="21"/>
                <w:color w:val="000000"/>
              </w:rPr>
              <w:t>二、编制范围</w:t>
            </w:r>
          </w:p>
          <w:p>
            <w:pPr>
              <w:pStyle w:val="null3"/>
              <w:ind w:firstLine="420"/>
              <w:jc w:val="both"/>
            </w:pPr>
            <w:r>
              <w:rPr>
                <w:rFonts w:ascii="仿宋_GB2312" w:hAnsi="仿宋_GB2312" w:cs="仿宋_GB2312" w:eastAsia="仿宋_GB2312"/>
                <w:sz w:val="21"/>
                <w:color w:val="000000"/>
              </w:rPr>
              <w:t>详见工程量清单。</w:t>
            </w:r>
          </w:p>
          <w:p>
            <w:pPr>
              <w:pStyle w:val="null3"/>
              <w:jc w:val="both"/>
            </w:pPr>
            <w:r>
              <w:rPr>
                <w:rFonts w:ascii="仿宋_GB2312" w:hAnsi="仿宋_GB2312" w:cs="仿宋_GB2312" w:eastAsia="仿宋_GB2312"/>
                <w:sz w:val="21"/>
                <w:color w:val="000000"/>
              </w:rPr>
              <w:t>三、编制依据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color w:val="000000"/>
              </w:rPr>
              <w:t>《房屋建筑与装饰工程工程量计算标准》（</w:t>
            </w:r>
            <w:r>
              <w:rPr>
                <w:rFonts w:ascii="仿宋_GB2312" w:hAnsi="仿宋_GB2312" w:cs="仿宋_GB2312" w:eastAsia="仿宋_GB2312"/>
                <w:sz w:val="21"/>
                <w:color w:val="000000"/>
              </w:rPr>
              <w:t>DB 61/T 5129-2025）；</w:t>
            </w:r>
          </w:p>
          <w:p>
            <w:pPr>
              <w:pStyle w:val="null3"/>
              <w:ind w:firstLine="420"/>
              <w:jc w:val="both"/>
            </w:pPr>
            <w:r>
              <w:rPr>
                <w:rFonts w:ascii="仿宋_GB2312" w:hAnsi="仿宋_GB2312" w:cs="仿宋_GB2312" w:eastAsia="仿宋_GB2312"/>
                <w:sz w:val="21"/>
                <w:color w:val="000000"/>
              </w:rPr>
              <w:t>2.《通用安装工程工程量计算标准》（DB 61/T 5130-2025）；</w:t>
            </w:r>
          </w:p>
          <w:p>
            <w:pPr>
              <w:pStyle w:val="null3"/>
              <w:ind w:firstLine="420"/>
              <w:jc w:val="both"/>
            </w:pPr>
            <w:r>
              <w:rPr>
                <w:rFonts w:ascii="仿宋_GB2312" w:hAnsi="仿宋_GB2312" w:cs="仿宋_GB2312" w:eastAsia="仿宋_GB2312"/>
                <w:sz w:val="21"/>
                <w:color w:val="000000"/>
              </w:rPr>
              <w:t>3.《市政工程工程量计算标准》（DB 61/T 5128-2025）；</w:t>
            </w:r>
          </w:p>
          <w:p>
            <w:pPr>
              <w:pStyle w:val="null3"/>
              <w:ind w:firstLine="420"/>
              <w:jc w:val="both"/>
            </w:pPr>
            <w:r>
              <w:rPr>
                <w:rFonts w:ascii="仿宋_GB2312" w:hAnsi="仿宋_GB2312" w:cs="仿宋_GB2312" w:eastAsia="仿宋_GB2312"/>
                <w:sz w:val="21"/>
                <w:color w:val="000000"/>
              </w:rPr>
              <w:t>4.《建设工程工程量清单计价标准》（GB/T 50500-2024）；</w:t>
            </w:r>
          </w:p>
          <w:p>
            <w:pPr>
              <w:pStyle w:val="null3"/>
              <w:ind w:firstLine="420"/>
              <w:jc w:val="both"/>
            </w:pPr>
            <w:r>
              <w:rPr>
                <w:rFonts w:ascii="仿宋_GB2312" w:hAnsi="仿宋_GB2312" w:cs="仿宋_GB2312" w:eastAsia="仿宋_GB2312"/>
                <w:sz w:val="21"/>
                <w:color w:val="000000"/>
              </w:rPr>
              <w:t>5.《建设工程工程量清单计价标准》（DB 61/T 5126-2025）；</w:t>
            </w:r>
          </w:p>
          <w:p>
            <w:pPr>
              <w:pStyle w:val="null3"/>
              <w:ind w:firstLine="420"/>
              <w:jc w:val="both"/>
            </w:pPr>
            <w:r>
              <w:rPr>
                <w:rFonts w:ascii="仿宋_GB2312" w:hAnsi="仿宋_GB2312" w:cs="仿宋_GB2312" w:eastAsia="仿宋_GB2312"/>
                <w:sz w:val="21"/>
                <w:color w:val="000000"/>
              </w:rPr>
              <w:t>6.《陕西省建设工程费用规则》（2025） ；</w:t>
            </w:r>
          </w:p>
          <w:p>
            <w:pPr>
              <w:pStyle w:val="null3"/>
              <w:ind w:firstLine="420"/>
              <w:jc w:val="both"/>
            </w:pPr>
            <w:r>
              <w:rPr>
                <w:rFonts w:ascii="仿宋_GB2312" w:hAnsi="仿宋_GB2312" w:cs="仿宋_GB2312" w:eastAsia="仿宋_GB2312"/>
                <w:sz w:val="21"/>
                <w:color w:val="000000"/>
              </w:rPr>
              <w:t>7.《陕西省房屋建筑与装饰工程消耗量定额》（2025）；</w:t>
            </w:r>
          </w:p>
          <w:p>
            <w:pPr>
              <w:pStyle w:val="null3"/>
              <w:ind w:firstLine="420"/>
              <w:jc w:val="both"/>
            </w:pPr>
            <w:r>
              <w:rPr>
                <w:rFonts w:ascii="仿宋_GB2312" w:hAnsi="仿宋_GB2312" w:cs="仿宋_GB2312" w:eastAsia="仿宋_GB2312"/>
                <w:sz w:val="21"/>
                <w:color w:val="000000"/>
              </w:rPr>
              <w:t>8.《陕西省建设工程施工机械台班费用定额》（2025）；</w:t>
            </w:r>
          </w:p>
          <w:p>
            <w:pPr>
              <w:pStyle w:val="null3"/>
              <w:ind w:firstLine="420"/>
              <w:jc w:val="both"/>
            </w:pPr>
            <w:r>
              <w:rPr>
                <w:rFonts w:ascii="仿宋_GB2312" w:hAnsi="仿宋_GB2312" w:cs="仿宋_GB2312" w:eastAsia="仿宋_GB2312"/>
                <w:sz w:val="21"/>
                <w:color w:val="000000"/>
              </w:rPr>
              <w:t>9.《陕西省通用安装工程消耗量定额》（2025）。</w:t>
            </w:r>
          </w:p>
          <w:p>
            <w:pPr>
              <w:pStyle w:val="null3"/>
              <w:jc w:val="both"/>
            </w:pPr>
            <w:r>
              <w:rPr>
                <w:rFonts w:ascii="仿宋_GB2312" w:hAnsi="仿宋_GB2312" w:cs="仿宋_GB2312" w:eastAsia="仿宋_GB2312"/>
                <w:sz w:val="21"/>
                <w:color w:val="000000"/>
              </w:rPr>
              <w:t>四、其他说明</w:t>
            </w:r>
          </w:p>
          <w:p>
            <w:pPr>
              <w:pStyle w:val="null3"/>
            </w:pPr>
            <w:r>
              <w:rPr>
                <w:rFonts w:ascii="仿宋_GB2312" w:hAnsi="仿宋_GB2312" w:cs="仿宋_GB2312" w:eastAsia="仿宋_GB2312"/>
                <w:sz w:val="21"/>
                <w:color w:val="000000"/>
              </w:rPr>
              <w:t>1、暂列金：85000元；</w:t>
            </w:r>
          </w:p>
          <w:p>
            <w:pPr>
              <w:pStyle w:val="null3"/>
            </w:pPr>
            <w:r>
              <w:rPr>
                <w:rFonts w:ascii="仿宋_GB2312" w:hAnsi="仿宋_GB2312" w:cs="仿宋_GB2312" w:eastAsia="仿宋_GB2312"/>
                <w:sz w:val="21"/>
                <w:color w:val="000000"/>
              </w:rPr>
              <w:t>2、其他未说明详见工程量清单。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标的名称：勉县元墩镇2025年度建制镇镇区基础设施建设项目(集镇农贸市场改造提升工程)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一、工程概况</w:t>
            </w:r>
          </w:p>
          <w:p>
            <w:pPr>
              <w:pStyle w:val="null3"/>
              <w:ind w:firstLine="420"/>
              <w:jc w:val="both"/>
            </w:pPr>
            <w:r>
              <w:rPr>
                <w:rFonts w:ascii="仿宋_GB2312" w:hAnsi="仿宋_GB2312" w:cs="仿宋_GB2312" w:eastAsia="仿宋_GB2312"/>
                <w:sz w:val="21"/>
                <w:color w:val="000000"/>
              </w:rPr>
              <w:t>新建钢结构农贸市场</w:t>
            </w:r>
            <w:r>
              <w:rPr>
                <w:rFonts w:ascii="仿宋_GB2312" w:hAnsi="仿宋_GB2312" w:cs="仿宋_GB2312" w:eastAsia="仿宋_GB2312"/>
                <w:sz w:val="21"/>
                <w:color w:val="000000"/>
              </w:rPr>
              <w:t>1座共800平方米。</w:t>
            </w:r>
          </w:p>
          <w:p>
            <w:pPr>
              <w:pStyle w:val="null3"/>
              <w:jc w:val="both"/>
            </w:pPr>
            <w:r>
              <w:rPr>
                <w:rFonts w:ascii="仿宋_GB2312" w:hAnsi="仿宋_GB2312" w:cs="仿宋_GB2312" w:eastAsia="仿宋_GB2312"/>
                <w:sz w:val="21"/>
                <w:color w:val="000000"/>
              </w:rPr>
              <w:t>二、编制范围</w:t>
            </w:r>
          </w:p>
          <w:p>
            <w:pPr>
              <w:pStyle w:val="null3"/>
              <w:ind w:firstLine="420"/>
              <w:jc w:val="both"/>
            </w:pPr>
            <w:r>
              <w:rPr>
                <w:rFonts w:ascii="仿宋_GB2312" w:hAnsi="仿宋_GB2312" w:cs="仿宋_GB2312" w:eastAsia="仿宋_GB2312"/>
                <w:sz w:val="21"/>
                <w:color w:val="000000"/>
              </w:rPr>
              <w:t>详见工程量清单。</w:t>
            </w:r>
          </w:p>
          <w:p>
            <w:pPr>
              <w:pStyle w:val="null3"/>
              <w:jc w:val="both"/>
            </w:pPr>
            <w:r>
              <w:rPr>
                <w:rFonts w:ascii="仿宋_GB2312" w:hAnsi="仿宋_GB2312" w:cs="仿宋_GB2312" w:eastAsia="仿宋_GB2312"/>
                <w:sz w:val="21"/>
                <w:color w:val="000000"/>
              </w:rPr>
              <w:t>三、编制依据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color w:val="000000"/>
              </w:rPr>
              <w:t>《房屋建筑与装饰工程工程量计算标准》（</w:t>
            </w:r>
            <w:r>
              <w:rPr>
                <w:rFonts w:ascii="仿宋_GB2312" w:hAnsi="仿宋_GB2312" w:cs="仿宋_GB2312" w:eastAsia="仿宋_GB2312"/>
                <w:sz w:val="21"/>
                <w:color w:val="000000"/>
              </w:rPr>
              <w:t>DB 61/T 5129-2025）；</w:t>
            </w:r>
          </w:p>
          <w:p>
            <w:pPr>
              <w:pStyle w:val="null3"/>
              <w:ind w:firstLine="420"/>
              <w:jc w:val="both"/>
            </w:pPr>
            <w:r>
              <w:rPr>
                <w:rFonts w:ascii="仿宋_GB2312" w:hAnsi="仿宋_GB2312" w:cs="仿宋_GB2312" w:eastAsia="仿宋_GB2312"/>
                <w:sz w:val="21"/>
                <w:color w:val="000000"/>
              </w:rPr>
              <w:t>2.《通用安装工程工程量计算标准》（DB 61/T 5130-2025）；</w:t>
            </w:r>
          </w:p>
          <w:p>
            <w:pPr>
              <w:pStyle w:val="null3"/>
              <w:ind w:firstLine="420"/>
              <w:jc w:val="both"/>
            </w:pPr>
            <w:r>
              <w:rPr>
                <w:rFonts w:ascii="仿宋_GB2312" w:hAnsi="仿宋_GB2312" w:cs="仿宋_GB2312" w:eastAsia="仿宋_GB2312"/>
                <w:sz w:val="21"/>
                <w:color w:val="000000"/>
              </w:rPr>
              <w:t>3.《市政工程工程量计算标准》（DB 61/T 5128-2025）；</w:t>
            </w:r>
          </w:p>
          <w:p>
            <w:pPr>
              <w:pStyle w:val="null3"/>
              <w:ind w:firstLine="420"/>
              <w:jc w:val="both"/>
            </w:pPr>
            <w:r>
              <w:rPr>
                <w:rFonts w:ascii="仿宋_GB2312" w:hAnsi="仿宋_GB2312" w:cs="仿宋_GB2312" w:eastAsia="仿宋_GB2312"/>
                <w:sz w:val="21"/>
                <w:color w:val="000000"/>
              </w:rPr>
              <w:t>4.《建设工程工程量清单计价标准》（GB/T 50500-2024）；</w:t>
            </w:r>
          </w:p>
          <w:p>
            <w:pPr>
              <w:pStyle w:val="null3"/>
              <w:ind w:firstLine="420"/>
              <w:jc w:val="both"/>
            </w:pPr>
            <w:r>
              <w:rPr>
                <w:rFonts w:ascii="仿宋_GB2312" w:hAnsi="仿宋_GB2312" w:cs="仿宋_GB2312" w:eastAsia="仿宋_GB2312"/>
                <w:sz w:val="21"/>
                <w:color w:val="000000"/>
              </w:rPr>
              <w:t>5.《建设工程工程量清单计价标准》（DB 61/T 5126-2025）；</w:t>
            </w:r>
          </w:p>
          <w:p>
            <w:pPr>
              <w:pStyle w:val="null3"/>
              <w:ind w:firstLine="420"/>
              <w:jc w:val="both"/>
            </w:pPr>
            <w:r>
              <w:rPr>
                <w:rFonts w:ascii="仿宋_GB2312" w:hAnsi="仿宋_GB2312" w:cs="仿宋_GB2312" w:eastAsia="仿宋_GB2312"/>
                <w:sz w:val="21"/>
                <w:color w:val="000000"/>
              </w:rPr>
              <w:t>6.《陕西省建设工程费用规则》（2025） ；</w:t>
            </w:r>
          </w:p>
          <w:p>
            <w:pPr>
              <w:pStyle w:val="null3"/>
              <w:ind w:firstLine="420"/>
              <w:jc w:val="both"/>
            </w:pPr>
            <w:r>
              <w:rPr>
                <w:rFonts w:ascii="仿宋_GB2312" w:hAnsi="仿宋_GB2312" w:cs="仿宋_GB2312" w:eastAsia="仿宋_GB2312"/>
                <w:sz w:val="21"/>
                <w:color w:val="000000"/>
              </w:rPr>
              <w:t>7.《陕西省房屋建筑与装饰工程消耗量定额》（2025）；</w:t>
            </w:r>
          </w:p>
          <w:p>
            <w:pPr>
              <w:pStyle w:val="null3"/>
              <w:ind w:firstLine="420"/>
              <w:jc w:val="both"/>
            </w:pPr>
            <w:r>
              <w:rPr>
                <w:rFonts w:ascii="仿宋_GB2312" w:hAnsi="仿宋_GB2312" w:cs="仿宋_GB2312" w:eastAsia="仿宋_GB2312"/>
                <w:sz w:val="21"/>
                <w:color w:val="000000"/>
              </w:rPr>
              <w:t>8.《陕西省建设工程施工机械台班费用定额》（2025）；</w:t>
            </w:r>
          </w:p>
          <w:p>
            <w:pPr>
              <w:pStyle w:val="null3"/>
              <w:ind w:firstLine="420"/>
              <w:jc w:val="both"/>
            </w:pPr>
            <w:r>
              <w:rPr>
                <w:rFonts w:ascii="仿宋_GB2312" w:hAnsi="仿宋_GB2312" w:cs="仿宋_GB2312" w:eastAsia="仿宋_GB2312"/>
                <w:sz w:val="21"/>
                <w:color w:val="000000"/>
              </w:rPr>
              <w:t>9.《陕西省通用安装工程消耗量定额》（2025）。</w:t>
            </w:r>
          </w:p>
          <w:p>
            <w:pPr>
              <w:pStyle w:val="null3"/>
              <w:jc w:val="both"/>
            </w:pPr>
            <w:r>
              <w:rPr>
                <w:rFonts w:ascii="仿宋_GB2312" w:hAnsi="仿宋_GB2312" w:cs="仿宋_GB2312" w:eastAsia="仿宋_GB2312"/>
                <w:sz w:val="21"/>
                <w:color w:val="000000"/>
              </w:rPr>
              <w:t>四、其他说明</w:t>
            </w:r>
          </w:p>
          <w:p>
            <w:pPr>
              <w:pStyle w:val="null3"/>
              <w:ind w:firstLine="420"/>
              <w:jc w:val="both"/>
            </w:pPr>
            <w:r>
              <w:rPr>
                <w:rFonts w:ascii="仿宋_GB2312" w:hAnsi="仿宋_GB2312" w:cs="仿宋_GB2312" w:eastAsia="仿宋_GB2312"/>
                <w:sz w:val="21"/>
                <w:color w:val="000000"/>
              </w:rPr>
              <w:t>1、弃土运距暂定5km；</w:t>
            </w:r>
          </w:p>
          <w:p>
            <w:pPr>
              <w:pStyle w:val="null3"/>
              <w:ind w:firstLine="420"/>
              <w:jc w:val="both"/>
            </w:pPr>
            <w:r>
              <w:rPr>
                <w:rFonts w:ascii="仿宋_GB2312" w:hAnsi="仿宋_GB2312" w:cs="仿宋_GB2312" w:eastAsia="仿宋_GB2312"/>
                <w:sz w:val="21"/>
                <w:color w:val="000000"/>
              </w:rPr>
              <w:t>2、原有农贸市场拆除，暂定综合单价：10000元/项；</w:t>
            </w:r>
          </w:p>
          <w:p>
            <w:pPr>
              <w:pStyle w:val="null3"/>
              <w:ind w:firstLine="420"/>
              <w:jc w:val="both"/>
            </w:pPr>
            <w:r>
              <w:rPr>
                <w:rFonts w:ascii="仿宋_GB2312" w:hAnsi="仿宋_GB2312" w:cs="仿宋_GB2312" w:eastAsia="仿宋_GB2312"/>
                <w:sz w:val="21"/>
                <w:color w:val="000000"/>
              </w:rPr>
              <w:t>3、其他未说明详见工程量清单。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符合国家现行施工质量验收规范合格标准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工期要求：120日历天。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合同包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市政公用工程施工总承包三级及以上资质，并具备有效的安全生产许可证；拟派项目经理须具备市政公用工程专业二级及以上注册建造师执业资格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报价函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报价函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报价函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2022年1月1日至今）类似项目业绩，响应文件中应附有其业绩证明材料，业绩以合同协议书及项目验收合格证明资料加盖公章的复印件为依据，每提供一个得2分，满分4分。以验收合格证明资料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1.项目经理具有工程类中级技术职称得1分；具有工程类高级及以上技术职称得2分；需提供职称证书复印件。 2.项目经理提供近三年（自2022年1月1日至今）类似项目业绩，响应文件中应附有其业绩证明材料，业绩以合同协议书及项目验收合格证明资料加盖公章的复印件为依据，提供1个得1分，满分1分 。以验收合格证明资料日期为准。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2022年1月1日至今）类似项目业绩，响应文件中应附有其业绩证明材料，业绩以合同协议书及项目验收合格证明资料加盖公章的复印件为依据，每提供一个得2分，满分4分。以验收合格证明资料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1.项目经理具有工程类中级技术职称得1分；具有工程类高级及以上技术职称得2分；需提供职称证书复印件。 2.项目经理提供近三年（自2022年1月1日至今）类似项目业绩，响应文件中应附有其业绩证明材料，业绩以合同协议书及项目验收合格证明资料加盖公章的复印件为依据，提供1个得1分，满分1分 。以验收合格证明资料日期为准。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2022年1月1日至今）类似项目业绩，响应文件中应附有其业绩证明材料，业绩以合同协议书及项目验收合格证明资料加盖公章的复印件为依据，每提供一个得2分，满分4分。以验收合格证明资料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1.项目经理具有工程类中级技术职称得1分；具有工程类高级及以上技术职称得2分；需提供职称证书复印件。 2.项目经理提供近三年（自2022年1月1日至今）类似项目业绩，响应文件中应附有其业绩证明材料，业绩以合同协议书及项目验收合格证明资料加盖公章的复印件为依据，提供1个得1分，满分1分 。以验收合格证明资料日期为准。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