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版本号：ZC2025-HW-24220251216002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勉县城镇生活垃圾转运处理设施设备更新项目（一期）环卫车辆采购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ZC2025-HW-242</w:t>
      </w:r>
      <w:r>
        <w:br/>
      </w:r>
      <w:r>
        <w:br/>
      </w:r>
      <w:r>
        <w:br/>
      </w:r>
    </w:p>
    <w:p>
      <w:pPr>
        <w:pStyle w:val="null3"/>
        <w:jc w:val="center"/>
        <w:outlineLvl w:val="2"/>
      </w:pPr>
      <w:r>
        <w:rPr>
          <w:rFonts w:ascii="仿宋_GB2312" w:hAnsi="仿宋_GB2312" w:cs="仿宋_GB2312" w:eastAsia="仿宋_GB2312"/>
          <w:sz w:val="28"/>
          <w:b/>
        </w:rPr>
        <w:t>勉县园林环卫服务中心</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勉县园林环卫服务中心</w:t>
      </w:r>
      <w:r>
        <w:rPr>
          <w:rFonts w:ascii="仿宋_GB2312" w:hAnsi="仿宋_GB2312" w:cs="仿宋_GB2312" w:eastAsia="仿宋_GB2312"/>
        </w:rPr>
        <w:t>委托，拟对</w:t>
      </w:r>
      <w:r>
        <w:rPr>
          <w:rFonts w:ascii="仿宋_GB2312" w:hAnsi="仿宋_GB2312" w:cs="仿宋_GB2312" w:eastAsia="仿宋_GB2312"/>
        </w:rPr>
        <w:t>勉县城镇生活垃圾转运处理设施设备更新项目（一期）环卫车辆采购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ZC2025-HW-242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勉县城镇生活垃圾转运处理设施设备更新项目（一期）环卫车辆采购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勉县城镇生活垃圾转运处理设施设备更新项目（一期）环卫车辆采购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p>
      <w:pPr>
        <w:pStyle w:val="null3"/>
      </w:pPr>
      <w:r>
        <w:rPr>
          <w:rFonts w:ascii="仿宋_GB2312" w:hAnsi="仿宋_GB2312" w:cs="仿宋_GB2312" w:eastAsia="仿宋_GB2312"/>
        </w:rPr>
        <w:t>2、拟供车辆资料：供应商拟供车型必须在国家工业和信息化部发布的《车辆生产企业及产品》公告内；</w:t>
      </w:r>
    </w:p>
    <w:p>
      <w:pPr>
        <w:pStyle w:val="null3"/>
      </w:pPr>
      <w:r>
        <w:rPr>
          <w:rFonts w:ascii="仿宋_GB2312" w:hAnsi="仿宋_GB2312" w:cs="仿宋_GB2312" w:eastAsia="仿宋_GB2312"/>
        </w:rPr>
        <w:t>3、企业信用：供应商不得为“信用中国” 网站（www.creditchi na.gov.cn）中列入重大税收违法失信主体的供应商；不得为“中国执行信息公开网”（http://z xgk.court.gov.cn）中列入失信被执行人名单的供应商；不得为“中国政府采购网”（www.cc gp.gov.cn）政府采购严重违法失信行为记录名 单中被财政部门禁止参加政府采购活动的供应商； （注：以投标文件中提供的承诺书为准）</w:t>
      </w:r>
    </w:p>
    <w:p>
      <w:pPr>
        <w:pStyle w:val="null3"/>
      </w:pPr>
      <w:r>
        <w:rPr>
          <w:rFonts w:ascii="仿宋_GB2312" w:hAnsi="仿宋_GB2312" w:cs="仿宋_GB2312" w:eastAsia="仿宋_GB2312"/>
        </w:rPr>
        <w:t>4、非联合体投标：本项目不接受联合体投标； （注：以投标文件中提供的声明为准）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勉县园林环卫服务中心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勉县天荡山路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税利鹤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3222900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西安市高新区高新三路9号新时代大厦西四楼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宋扬、毛鑫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029-88811050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银行账号：129911536210906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180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中标金额为基数，参照《国家计委关于印发&lt;招标代理服务收费管理暂行办法&gt;的通知》（计价格[2002]1980号）规定的货物类标准以差额定率累进制计算收取，由中标人在领取中标通知书前一次性足额支付给采购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勉县园林环卫服务中心</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勉县园林环卫服务中心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勉县园林环卫服务中心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国家及行业质量验收合格标准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联系人：宋扬、毛鑫</w:t>
      </w:r>
    </w:p>
    <w:p>
      <w:pPr>
        <w:pStyle w:val="null3"/>
      </w:pPr>
      <w:r>
        <w:rPr>
          <w:rFonts w:ascii="仿宋_GB2312" w:hAnsi="仿宋_GB2312" w:cs="仿宋_GB2312" w:eastAsia="仿宋_GB2312"/>
        </w:rPr>
        <w:t>联系电话：029-88811050</w:t>
      </w:r>
    </w:p>
    <w:p>
      <w:pPr>
        <w:pStyle w:val="null3"/>
      </w:pPr>
      <w:r>
        <w:rPr>
          <w:rFonts w:ascii="仿宋_GB2312" w:hAnsi="仿宋_GB2312" w:cs="仿宋_GB2312" w:eastAsia="仿宋_GB2312"/>
        </w:rPr>
        <w:t>地址：西安市高新区高新三路9号新时代大厦西四楼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勉县城镇生活垃圾转运处理设施设备更新项目（一期）环卫车辆采购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4,920,000.00</w:t>
      </w:r>
    </w:p>
    <w:p>
      <w:pPr>
        <w:pStyle w:val="null3"/>
      </w:pPr>
      <w:r>
        <w:rPr>
          <w:rFonts w:ascii="仿宋_GB2312" w:hAnsi="仿宋_GB2312" w:cs="仿宋_GB2312" w:eastAsia="仿宋_GB2312"/>
        </w:rPr>
        <w:t>采购包最高限价（元）: 4,920,000.00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环卫车辆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4,920,000.00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标的名称：环卫车辆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FF"/>
              </w:rPr>
              <w:t>一、项目概况：</w:t>
            </w:r>
          </w:p>
          <w:p>
            <w:pPr>
              <w:pStyle w:val="null3"/>
              <w:ind w:firstLine="420"/>
            </w:pPr>
            <w:r>
              <w:rPr>
                <w:rFonts w:ascii="仿宋_GB2312" w:hAnsi="仿宋_GB2312" w:cs="仿宋_GB2312" w:eastAsia="仿宋_GB2312"/>
                <w:sz w:val="21"/>
                <w:color w:val="0000FF"/>
              </w:rPr>
              <w:t>勉县城镇生活垃圾转运处理设施设备更新项目（一期）环卫车辆采购</w:t>
            </w:r>
          </w:p>
          <w:p>
            <w:pPr>
              <w:pStyle w:val="null3"/>
            </w:pPr>
            <w:r>
              <w:rPr>
                <w:rFonts w:ascii="仿宋_GB2312" w:hAnsi="仿宋_GB2312" w:cs="仿宋_GB2312" w:eastAsia="仿宋_GB2312"/>
                <w:sz w:val="21"/>
                <w:b/>
                <w:color w:val="0000FF"/>
              </w:rPr>
              <w:t>二、采购标的：</w:t>
            </w:r>
          </w:p>
          <w:tbl>
            <w:tblPr>
              <w:tblBorders>
                <w:top w:val="none" w:color="000000" w:sz="4"/>
                <w:left w:val="none" w:color="000000" w:sz="4"/>
                <w:bottom w:val="none" w:color="000000" w:sz="4"/>
                <w:right w:val="none" w:color="000000" w:sz="4"/>
                <w:insideH w:val="none"/>
                <w:insideV w:val="none"/>
              </w:tblBorders>
            </w:tblPr>
            <w:tblGrid>
              <w:gridCol w:w="309"/>
              <w:gridCol w:w="1167"/>
              <w:gridCol w:w="597"/>
              <w:gridCol w:w="478"/>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序号</w:t>
                  </w:r>
                </w:p>
              </w:tc>
              <w:tc>
                <w:tcPr>
                  <w:tcW w:type="dxa" w:w="1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名称</w:t>
                  </w:r>
                </w:p>
              </w:tc>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数量</w:t>
                  </w:r>
                </w:p>
              </w:tc>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备注</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18吨纯电动多功能抑尘车</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1辆</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核心产品</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18吨功能抑尘车（燃油）</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2辆</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12吨纯电动洗扫车</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2辆</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5吨装载机</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1辆</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b/>
                <w:color w:val="0000FF"/>
              </w:rPr>
              <w:t>三</w:t>
            </w:r>
            <w:r>
              <w:rPr>
                <w:rFonts w:ascii="仿宋_GB2312" w:hAnsi="仿宋_GB2312" w:cs="仿宋_GB2312" w:eastAsia="仿宋_GB2312"/>
                <w:sz w:val="21"/>
                <w:b/>
                <w:color w:val="0000FF"/>
              </w:rPr>
              <w:t>、</w:t>
            </w:r>
            <w:r>
              <w:rPr>
                <w:rFonts w:ascii="仿宋_GB2312" w:hAnsi="仿宋_GB2312" w:cs="仿宋_GB2312" w:eastAsia="仿宋_GB2312"/>
                <w:sz w:val="21"/>
                <w:b/>
                <w:color w:val="0000FF"/>
              </w:rPr>
              <w:t>采购标的需满足的技术要求</w:t>
            </w:r>
            <w:r>
              <w:rPr>
                <w:rFonts w:ascii="仿宋_GB2312" w:hAnsi="仿宋_GB2312" w:cs="仿宋_GB2312" w:eastAsia="仿宋_GB2312"/>
                <w:sz w:val="21"/>
                <w:b/>
                <w:color w:val="0000FF"/>
              </w:rPr>
              <w:t>：</w:t>
            </w:r>
          </w:p>
          <w:tbl>
            <w:tblPr>
              <w:tblInd w:type="dxa" w:w="120"/>
              <w:tblBorders>
                <w:top w:val="none" w:color="000000" w:sz="4"/>
                <w:left w:val="none" w:color="000000" w:sz="4"/>
                <w:bottom w:val="none" w:color="000000" w:sz="4"/>
                <w:right w:val="none" w:color="000000" w:sz="4"/>
                <w:insideH w:val="none"/>
                <w:insideV w:val="none"/>
              </w:tblBorders>
            </w:tblPr>
            <w:tblGrid>
              <w:gridCol w:w="143"/>
              <w:gridCol w:w="308"/>
              <w:gridCol w:w="234"/>
              <w:gridCol w:w="1866"/>
            </w:tblGrid>
            <w:tr>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序号</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名称</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数量</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技术参数及要求</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18吨纯电动多功能抑尘车</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1辆</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1.总质量(kg)≥18000</w:t>
                  </w:r>
                </w:p>
                <w:p>
                  <w:pPr>
                    <w:pStyle w:val="null3"/>
                    <w:spacing w:after="120"/>
                    <w:jc w:val="left"/>
                  </w:pPr>
                  <w:r>
                    <w:rPr>
                      <w:rFonts w:ascii="仿宋_GB2312" w:hAnsi="仿宋_GB2312" w:cs="仿宋_GB2312" w:eastAsia="仿宋_GB2312"/>
                      <w:sz w:val="21"/>
                      <w:color w:val="0000FF"/>
                    </w:rPr>
                    <w:t>▲2.额定载质量(kg)≥7300</w:t>
                  </w:r>
                </w:p>
                <w:p>
                  <w:pPr>
                    <w:pStyle w:val="null3"/>
                    <w:spacing w:after="120"/>
                    <w:jc w:val="left"/>
                  </w:pPr>
                  <w:r>
                    <w:rPr>
                      <w:rFonts w:ascii="仿宋_GB2312" w:hAnsi="仿宋_GB2312" w:cs="仿宋_GB2312" w:eastAsia="仿宋_GB2312"/>
                      <w:sz w:val="21"/>
                      <w:color w:val="0000FF"/>
                    </w:rPr>
                    <w:t>3.外型尺寸：长×宽×高(mm)：9500（±500）×2500（±100）×3200（±150）</w:t>
                  </w:r>
                </w:p>
                <w:p>
                  <w:pPr>
                    <w:pStyle w:val="null3"/>
                    <w:spacing w:after="120"/>
                    <w:jc w:val="left"/>
                  </w:pPr>
                  <w:r>
                    <w:rPr>
                      <w:rFonts w:ascii="仿宋_GB2312" w:hAnsi="仿宋_GB2312" w:cs="仿宋_GB2312" w:eastAsia="仿宋_GB2312"/>
                      <w:sz w:val="21"/>
                      <w:color w:val="0000FF"/>
                    </w:rPr>
                    <w:t>4.轴距(mm)≥5300</w:t>
                  </w:r>
                </w:p>
                <w:p>
                  <w:pPr>
                    <w:pStyle w:val="null3"/>
                    <w:spacing w:after="120"/>
                    <w:jc w:val="left"/>
                  </w:pPr>
                  <w:r>
                    <w:rPr>
                      <w:rFonts w:ascii="仿宋_GB2312" w:hAnsi="仿宋_GB2312" w:cs="仿宋_GB2312" w:eastAsia="仿宋_GB2312"/>
                      <w:sz w:val="21"/>
                      <w:color w:val="0000FF"/>
                    </w:rPr>
                    <w:t>5.前悬后悬(mm)≥1400/1600</w:t>
                  </w:r>
                </w:p>
                <w:p>
                  <w:pPr>
                    <w:pStyle w:val="null3"/>
                    <w:spacing w:after="120"/>
                    <w:jc w:val="left"/>
                  </w:pPr>
                  <w:r>
                    <w:rPr>
                      <w:rFonts w:ascii="仿宋_GB2312" w:hAnsi="仿宋_GB2312" w:cs="仿宋_GB2312" w:eastAsia="仿宋_GB2312"/>
                      <w:sz w:val="21"/>
                      <w:color w:val="0000FF"/>
                    </w:rPr>
                    <w:t>▲6.罐体总容量(m³)≥8</w:t>
                  </w:r>
                </w:p>
                <w:p>
                  <w:pPr>
                    <w:pStyle w:val="null3"/>
                    <w:spacing w:after="120"/>
                    <w:jc w:val="left"/>
                  </w:pPr>
                  <w:r>
                    <w:rPr>
                      <w:rFonts w:ascii="仿宋_GB2312" w:hAnsi="仿宋_GB2312" w:cs="仿宋_GB2312" w:eastAsia="仿宋_GB2312"/>
                      <w:sz w:val="21"/>
                      <w:color w:val="0000FF"/>
                    </w:rPr>
                    <w:t>7.底盘电机峰值功率(kw)≥130</w:t>
                  </w:r>
                </w:p>
                <w:p>
                  <w:pPr>
                    <w:pStyle w:val="null3"/>
                    <w:spacing w:after="120"/>
                    <w:jc w:val="left"/>
                  </w:pPr>
                  <w:r>
                    <w:rPr>
                      <w:rFonts w:ascii="仿宋_GB2312" w:hAnsi="仿宋_GB2312" w:cs="仿宋_GB2312" w:eastAsia="仿宋_GB2312"/>
                      <w:sz w:val="21"/>
                      <w:color w:val="0000FF"/>
                    </w:rPr>
                    <w:t>8.水泵电机额定功率(kW)≥40</w:t>
                  </w:r>
                </w:p>
                <w:p>
                  <w:pPr>
                    <w:pStyle w:val="null3"/>
                    <w:spacing w:after="120"/>
                    <w:jc w:val="left"/>
                  </w:pPr>
                  <w:r>
                    <w:rPr>
                      <w:rFonts w:ascii="仿宋_GB2312" w:hAnsi="仿宋_GB2312" w:cs="仿宋_GB2312" w:eastAsia="仿宋_GB2312"/>
                      <w:sz w:val="21"/>
                      <w:color w:val="0000FF"/>
                    </w:rPr>
                    <w:t>9.电池种类:磷酸铁锂或优于</w:t>
                  </w:r>
                </w:p>
                <w:p>
                  <w:pPr>
                    <w:pStyle w:val="null3"/>
                    <w:spacing w:after="120"/>
                    <w:jc w:val="left"/>
                  </w:pPr>
                  <w:r>
                    <w:rPr>
                      <w:rFonts w:ascii="仿宋_GB2312" w:hAnsi="仿宋_GB2312" w:cs="仿宋_GB2312" w:eastAsia="仿宋_GB2312"/>
                      <w:sz w:val="21"/>
                      <w:color w:val="0000FF"/>
                    </w:rPr>
                    <w:t>10.电池总电量(kwh)≥280</w:t>
                  </w:r>
                </w:p>
                <w:p>
                  <w:pPr>
                    <w:pStyle w:val="null3"/>
                    <w:spacing w:after="120"/>
                    <w:jc w:val="left"/>
                  </w:pPr>
                  <w:r>
                    <w:rPr>
                      <w:rFonts w:ascii="仿宋_GB2312" w:hAnsi="仿宋_GB2312" w:cs="仿宋_GB2312" w:eastAsia="仿宋_GB2312"/>
                      <w:sz w:val="21"/>
                      <w:color w:val="0000FF"/>
                    </w:rPr>
                    <w:t>11.续驶里程(km,等速法)≥400</w:t>
                  </w:r>
                </w:p>
                <w:p>
                  <w:pPr>
                    <w:pStyle w:val="null3"/>
                    <w:spacing w:after="120"/>
                    <w:jc w:val="left"/>
                  </w:pPr>
                  <w:r>
                    <w:rPr>
                      <w:rFonts w:ascii="仿宋_GB2312" w:hAnsi="仿宋_GB2312" w:cs="仿宋_GB2312" w:eastAsia="仿宋_GB2312"/>
                      <w:sz w:val="21"/>
                      <w:color w:val="0000FF"/>
                    </w:rPr>
                    <w:t>12.最小离地间隙(mm)≥240</w:t>
                  </w:r>
                </w:p>
                <w:p>
                  <w:pPr>
                    <w:pStyle w:val="null3"/>
                    <w:spacing w:after="120"/>
                    <w:jc w:val="left"/>
                  </w:pPr>
                  <w:r>
                    <w:rPr>
                      <w:rFonts w:ascii="仿宋_GB2312" w:hAnsi="仿宋_GB2312" w:cs="仿宋_GB2312" w:eastAsia="仿宋_GB2312"/>
                      <w:sz w:val="21"/>
                      <w:color w:val="0000FF"/>
                    </w:rPr>
                    <w:t>▲13.喷雾系统喷雾射程(m)≥100</w:t>
                  </w:r>
                </w:p>
                <w:p>
                  <w:pPr>
                    <w:pStyle w:val="null3"/>
                    <w:spacing w:after="120"/>
                    <w:jc w:val="left"/>
                  </w:pPr>
                  <w:r>
                    <w:rPr>
                      <w:rFonts w:ascii="仿宋_GB2312" w:hAnsi="仿宋_GB2312" w:cs="仿宋_GB2312" w:eastAsia="仿宋_GB2312"/>
                      <w:sz w:val="21"/>
                      <w:color w:val="0000FF"/>
                    </w:rPr>
                    <w:t>14.喷雾系统喷雾射高(m)≥35</w:t>
                  </w:r>
                </w:p>
                <w:p>
                  <w:pPr>
                    <w:pStyle w:val="null3"/>
                    <w:spacing w:after="120"/>
                    <w:jc w:val="left"/>
                  </w:pPr>
                  <w:r>
                    <w:rPr>
                      <w:rFonts w:ascii="仿宋_GB2312" w:hAnsi="仿宋_GB2312" w:cs="仿宋_GB2312" w:eastAsia="仿宋_GB2312"/>
                      <w:sz w:val="21"/>
                      <w:color w:val="0000FF"/>
                    </w:rPr>
                    <w:t>15.喷雾俯仰角度(°)≥-10～60</w:t>
                  </w:r>
                </w:p>
                <w:p>
                  <w:pPr>
                    <w:pStyle w:val="null3"/>
                    <w:spacing w:after="120"/>
                    <w:jc w:val="left"/>
                  </w:pPr>
                  <w:r>
                    <w:rPr>
                      <w:rFonts w:ascii="仿宋_GB2312" w:hAnsi="仿宋_GB2312" w:cs="仿宋_GB2312" w:eastAsia="仿宋_GB2312"/>
                      <w:sz w:val="21"/>
                      <w:color w:val="0000FF"/>
                    </w:rPr>
                    <w:t>16.喷雾回转角度(°)≥-90～90</w:t>
                  </w:r>
                </w:p>
                <w:p>
                  <w:pPr>
                    <w:pStyle w:val="null3"/>
                    <w:spacing w:after="120"/>
                    <w:jc w:val="left"/>
                  </w:pPr>
                  <w:r>
                    <w:rPr>
                      <w:rFonts w:ascii="仿宋_GB2312" w:hAnsi="仿宋_GB2312" w:cs="仿宋_GB2312" w:eastAsia="仿宋_GB2312"/>
                      <w:sz w:val="21"/>
                      <w:color w:val="0000FF"/>
                    </w:rPr>
                    <w:t>17.鸭嘴冲洗宽度(m)≥10</w:t>
                  </w:r>
                </w:p>
                <w:p>
                  <w:pPr>
                    <w:pStyle w:val="null3"/>
                    <w:spacing w:after="120"/>
                    <w:jc w:val="left"/>
                  </w:pPr>
                  <w:r>
                    <w:rPr>
                      <w:rFonts w:ascii="仿宋_GB2312" w:hAnsi="仿宋_GB2312" w:cs="仿宋_GB2312" w:eastAsia="仿宋_GB2312"/>
                      <w:sz w:val="21"/>
                      <w:color w:val="0000FF"/>
                    </w:rPr>
                    <w:t>18.圆锥冲洗宽度(m)≥24</w:t>
                  </w:r>
                </w:p>
                <w:p>
                  <w:pPr>
                    <w:pStyle w:val="null3"/>
                    <w:spacing w:after="120"/>
                    <w:jc w:val="left"/>
                  </w:pPr>
                  <w:r>
                    <w:rPr>
                      <w:rFonts w:ascii="仿宋_GB2312" w:hAnsi="仿宋_GB2312" w:cs="仿宋_GB2312" w:eastAsia="仿宋_GB2312"/>
                      <w:sz w:val="21"/>
                      <w:color w:val="0000FF"/>
                    </w:rPr>
                    <w:t>19.后洒水宽度(m)≥14</w:t>
                  </w:r>
                </w:p>
                <w:p>
                  <w:pPr>
                    <w:pStyle w:val="null3"/>
                    <w:spacing w:after="120"/>
                    <w:jc w:val="left"/>
                  </w:pPr>
                  <w:r>
                    <w:rPr>
                      <w:rFonts w:ascii="仿宋_GB2312" w:hAnsi="仿宋_GB2312" w:cs="仿宋_GB2312" w:eastAsia="仿宋_GB2312"/>
                      <w:sz w:val="21"/>
                      <w:color w:val="0000FF"/>
                    </w:rPr>
                    <w:t>20.后绿化浇灌宽度(m)≥14</w:t>
                  </w:r>
                </w:p>
                <w:p>
                  <w:pPr>
                    <w:pStyle w:val="null3"/>
                    <w:spacing w:after="120"/>
                    <w:jc w:val="left"/>
                  </w:pPr>
                  <w:r>
                    <w:rPr>
                      <w:rFonts w:ascii="仿宋_GB2312" w:hAnsi="仿宋_GB2312" w:cs="仿宋_GB2312" w:eastAsia="仿宋_GB2312"/>
                      <w:sz w:val="21"/>
                      <w:color w:val="0000FF"/>
                    </w:rPr>
                    <w:t xml:space="preserve">21.水枪射程(m)≥50  </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18吨功能抑尘车（燃油）</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2辆</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1.外形尺寸(mm)≤9500*2500*3400</w:t>
                  </w:r>
                </w:p>
                <w:p>
                  <w:pPr>
                    <w:pStyle w:val="null3"/>
                    <w:spacing w:after="120"/>
                    <w:jc w:val="left"/>
                  </w:pPr>
                  <w:r>
                    <w:rPr>
                      <w:rFonts w:ascii="仿宋_GB2312" w:hAnsi="仿宋_GB2312" w:cs="仿宋_GB2312" w:eastAsia="仿宋_GB2312"/>
                      <w:sz w:val="21"/>
                      <w:color w:val="0000FF"/>
                    </w:rPr>
                    <w:t>2.总质量(kg)≥18000</w:t>
                  </w:r>
                </w:p>
                <w:p>
                  <w:pPr>
                    <w:pStyle w:val="null3"/>
                    <w:spacing w:after="120"/>
                    <w:jc w:val="left"/>
                  </w:pPr>
                  <w:r>
                    <w:rPr>
                      <w:rFonts w:ascii="仿宋_GB2312" w:hAnsi="仿宋_GB2312" w:cs="仿宋_GB2312" w:eastAsia="仿宋_GB2312"/>
                      <w:sz w:val="21"/>
                      <w:color w:val="0000FF"/>
                    </w:rPr>
                    <w:t>3.额定载质量(kg)≥8300</w:t>
                  </w:r>
                </w:p>
                <w:p>
                  <w:pPr>
                    <w:pStyle w:val="null3"/>
                    <w:spacing w:after="120"/>
                    <w:jc w:val="left"/>
                  </w:pPr>
                  <w:r>
                    <w:rPr>
                      <w:rFonts w:ascii="仿宋_GB2312" w:hAnsi="仿宋_GB2312" w:cs="仿宋_GB2312" w:eastAsia="仿宋_GB2312"/>
                      <w:sz w:val="21"/>
                      <w:color w:val="0000FF"/>
                    </w:rPr>
                    <w:t>4.整备质量(kg)≥9000</w:t>
                  </w:r>
                </w:p>
                <w:p>
                  <w:pPr>
                    <w:pStyle w:val="null3"/>
                    <w:spacing w:after="120"/>
                    <w:jc w:val="left"/>
                  </w:pPr>
                  <w:r>
                    <w:rPr>
                      <w:rFonts w:ascii="仿宋_GB2312" w:hAnsi="仿宋_GB2312" w:cs="仿宋_GB2312" w:eastAsia="仿宋_GB2312"/>
                      <w:sz w:val="21"/>
                      <w:color w:val="0000FF"/>
                    </w:rPr>
                    <w:t>5.轴距(mm)≤4700</w:t>
                  </w:r>
                </w:p>
                <w:p>
                  <w:pPr>
                    <w:pStyle w:val="null3"/>
                    <w:spacing w:after="120"/>
                    <w:jc w:val="left"/>
                  </w:pPr>
                  <w:r>
                    <w:rPr>
                      <w:rFonts w:ascii="仿宋_GB2312" w:hAnsi="仿宋_GB2312" w:cs="仿宋_GB2312" w:eastAsia="仿宋_GB2312"/>
                      <w:sz w:val="21"/>
                      <w:color w:val="0000FF"/>
                    </w:rPr>
                    <w:t>6.前悬/后悬(mm)≤1450/2500</w:t>
                  </w:r>
                </w:p>
                <w:p>
                  <w:pPr>
                    <w:pStyle w:val="null3"/>
                    <w:spacing w:after="120"/>
                    <w:jc w:val="left"/>
                  </w:pPr>
                  <w:r>
                    <w:rPr>
                      <w:rFonts w:ascii="仿宋_GB2312" w:hAnsi="仿宋_GB2312" w:cs="仿宋_GB2312" w:eastAsia="仿宋_GB2312"/>
                      <w:sz w:val="21"/>
                      <w:color w:val="0000FF"/>
                    </w:rPr>
                    <w:t>7.最高车速(km/h)≥85</w:t>
                  </w:r>
                </w:p>
                <w:p>
                  <w:pPr>
                    <w:pStyle w:val="null3"/>
                    <w:spacing w:after="120"/>
                    <w:jc w:val="left"/>
                  </w:pPr>
                  <w:r>
                    <w:rPr>
                      <w:rFonts w:ascii="仿宋_GB2312" w:hAnsi="仿宋_GB2312" w:cs="仿宋_GB2312" w:eastAsia="仿宋_GB2312"/>
                      <w:sz w:val="21"/>
                      <w:color w:val="0000FF"/>
                    </w:rPr>
                    <w:t>8.准乘人数(人)≥3</w:t>
                  </w:r>
                </w:p>
                <w:p>
                  <w:pPr>
                    <w:pStyle w:val="null3"/>
                    <w:spacing w:after="120"/>
                    <w:jc w:val="left"/>
                  </w:pPr>
                  <w:r>
                    <w:rPr>
                      <w:rFonts w:ascii="仿宋_GB2312" w:hAnsi="仿宋_GB2312" w:cs="仿宋_GB2312" w:eastAsia="仿宋_GB2312"/>
                      <w:sz w:val="21"/>
                      <w:color w:val="0000FF"/>
                    </w:rPr>
                    <w:t>9.底盘发动机功率(kw)≥160</w:t>
                  </w:r>
                </w:p>
                <w:p>
                  <w:pPr>
                    <w:pStyle w:val="null3"/>
                    <w:spacing w:after="120"/>
                    <w:jc w:val="left"/>
                  </w:pPr>
                  <w:r>
                    <w:rPr>
                      <w:rFonts w:ascii="仿宋_GB2312" w:hAnsi="仿宋_GB2312" w:cs="仿宋_GB2312" w:eastAsia="仿宋_GB2312"/>
                      <w:sz w:val="21"/>
                      <w:color w:val="0000FF"/>
                    </w:rPr>
                    <w:t>10.底盘发动机排放标准：国VI</w:t>
                  </w:r>
                </w:p>
                <w:p>
                  <w:pPr>
                    <w:pStyle w:val="null3"/>
                    <w:spacing w:after="120"/>
                    <w:jc w:val="left"/>
                  </w:pPr>
                  <w:r>
                    <w:rPr>
                      <w:rFonts w:ascii="仿宋_GB2312" w:hAnsi="仿宋_GB2312" w:cs="仿宋_GB2312" w:eastAsia="仿宋_GB2312"/>
                      <w:sz w:val="21"/>
                      <w:color w:val="0000FF"/>
                    </w:rPr>
                    <w:t>11.副发动机功率(kw)≥95</w:t>
                  </w:r>
                </w:p>
                <w:p>
                  <w:pPr>
                    <w:pStyle w:val="null3"/>
                    <w:spacing w:after="120"/>
                    <w:jc w:val="left"/>
                  </w:pPr>
                  <w:r>
                    <w:rPr>
                      <w:rFonts w:ascii="仿宋_GB2312" w:hAnsi="仿宋_GB2312" w:cs="仿宋_GB2312" w:eastAsia="仿宋_GB2312"/>
                      <w:sz w:val="21"/>
                      <w:color w:val="0000FF"/>
                    </w:rPr>
                    <w:t>12.副发动机排放标准：国IV或更优</w:t>
                  </w:r>
                </w:p>
                <w:p>
                  <w:pPr>
                    <w:pStyle w:val="null3"/>
                    <w:spacing w:after="120"/>
                    <w:jc w:val="left"/>
                  </w:pPr>
                  <w:r>
                    <w:rPr>
                      <w:rFonts w:ascii="仿宋_GB2312" w:hAnsi="仿宋_GB2312" w:cs="仿宋_GB2312" w:eastAsia="仿宋_GB2312"/>
                      <w:sz w:val="21"/>
                      <w:color w:val="0000FF"/>
                    </w:rPr>
                    <w:t>13.雾滴颗粒(μm)：50～150</w:t>
                  </w:r>
                </w:p>
                <w:p>
                  <w:pPr>
                    <w:pStyle w:val="null3"/>
                    <w:spacing w:after="120"/>
                    <w:jc w:val="left"/>
                  </w:pPr>
                  <w:r>
                    <w:rPr>
                      <w:rFonts w:ascii="仿宋_GB2312" w:hAnsi="仿宋_GB2312" w:cs="仿宋_GB2312" w:eastAsia="仿宋_GB2312"/>
                      <w:sz w:val="21"/>
                      <w:color w:val="0000FF"/>
                    </w:rPr>
                    <w:t>14.喷嘴数量(个)≥50</w:t>
                  </w:r>
                </w:p>
                <w:p>
                  <w:pPr>
                    <w:pStyle w:val="null3"/>
                    <w:spacing w:after="120"/>
                    <w:jc w:val="left"/>
                  </w:pPr>
                  <w:r>
                    <w:rPr>
                      <w:rFonts w:ascii="仿宋_GB2312" w:hAnsi="仿宋_GB2312" w:cs="仿宋_GB2312" w:eastAsia="仿宋_GB2312"/>
                      <w:sz w:val="21"/>
                      <w:color w:val="0000FF"/>
                    </w:rPr>
                    <w:t>15.喷雾系统喷射俯仰角(°)：-10～60</w:t>
                  </w:r>
                </w:p>
                <w:p>
                  <w:pPr>
                    <w:pStyle w:val="null3"/>
                    <w:spacing w:after="120"/>
                    <w:jc w:val="left"/>
                  </w:pPr>
                  <w:r>
                    <w:rPr>
                      <w:rFonts w:ascii="仿宋_GB2312" w:hAnsi="仿宋_GB2312" w:cs="仿宋_GB2312" w:eastAsia="仿宋_GB2312"/>
                      <w:sz w:val="21"/>
                      <w:color w:val="0000FF"/>
                    </w:rPr>
                    <w:t>16.喷雾系统水平旋转角(°)：-90～90</w:t>
                  </w:r>
                </w:p>
                <w:p>
                  <w:pPr>
                    <w:pStyle w:val="null3"/>
                    <w:spacing w:after="120"/>
                    <w:jc w:val="left"/>
                  </w:pPr>
                  <w:r>
                    <w:rPr>
                      <w:rFonts w:ascii="仿宋_GB2312" w:hAnsi="仿宋_GB2312" w:cs="仿宋_GB2312" w:eastAsia="仿宋_GB2312"/>
                      <w:sz w:val="21"/>
                      <w:color w:val="0000FF"/>
                    </w:rPr>
                    <w:t>17.喷雾射程(m)≥80</w:t>
                  </w:r>
                </w:p>
                <w:p>
                  <w:pPr>
                    <w:pStyle w:val="null3"/>
                    <w:spacing w:after="120"/>
                    <w:jc w:val="left"/>
                  </w:pPr>
                  <w:r>
                    <w:rPr>
                      <w:rFonts w:ascii="仿宋_GB2312" w:hAnsi="仿宋_GB2312" w:cs="仿宋_GB2312" w:eastAsia="仿宋_GB2312"/>
                      <w:sz w:val="21"/>
                      <w:color w:val="0000FF"/>
                    </w:rPr>
                    <w:t>18.喷雾射高(m)≥35</w:t>
                  </w:r>
                </w:p>
                <w:p>
                  <w:pPr>
                    <w:pStyle w:val="null3"/>
                    <w:spacing w:after="120"/>
                    <w:jc w:val="left"/>
                  </w:pPr>
                  <w:r>
                    <w:rPr>
                      <w:rFonts w:ascii="仿宋_GB2312" w:hAnsi="仿宋_GB2312" w:cs="仿宋_GB2312" w:eastAsia="仿宋_GB2312"/>
                      <w:sz w:val="21"/>
                      <w:color w:val="0000FF"/>
                    </w:rPr>
                    <w:t>19.圆锥喷嘴冲洗宽度（m)≥24</w:t>
                  </w:r>
                </w:p>
                <w:p>
                  <w:pPr>
                    <w:pStyle w:val="null3"/>
                    <w:spacing w:after="120"/>
                    <w:jc w:val="left"/>
                  </w:pPr>
                  <w:r>
                    <w:rPr>
                      <w:rFonts w:ascii="仿宋_GB2312" w:hAnsi="仿宋_GB2312" w:cs="仿宋_GB2312" w:eastAsia="仿宋_GB2312"/>
                      <w:sz w:val="21"/>
                      <w:color w:val="0000FF"/>
                    </w:rPr>
                    <w:t>20.水枪射程（m)≥50</w:t>
                  </w:r>
                </w:p>
                <w:p>
                  <w:pPr>
                    <w:pStyle w:val="null3"/>
                    <w:spacing w:after="120"/>
                    <w:jc w:val="left"/>
                  </w:pPr>
                  <w:r>
                    <w:rPr>
                      <w:rFonts w:ascii="仿宋_GB2312" w:hAnsi="仿宋_GB2312" w:cs="仿宋_GB2312" w:eastAsia="仿宋_GB2312"/>
                      <w:sz w:val="21"/>
                      <w:color w:val="0000FF"/>
                    </w:rPr>
                    <w:t>21.后洒水宽度（m)≥14</w:t>
                  </w:r>
                </w:p>
                <w:p>
                  <w:pPr>
                    <w:pStyle w:val="null3"/>
                    <w:spacing w:after="120"/>
                    <w:jc w:val="left"/>
                  </w:pPr>
                  <w:r>
                    <w:rPr>
                      <w:rFonts w:ascii="仿宋_GB2312" w:hAnsi="仿宋_GB2312" w:cs="仿宋_GB2312" w:eastAsia="仿宋_GB2312"/>
                      <w:sz w:val="21"/>
                      <w:color w:val="0000FF"/>
                    </w:rPr>
                    <w:t>22.水罐容积（m3）≥9</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12吨纯电动洗扫车</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2辆</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1.外型尺寸：长×宽×高(mm)≥7000×2300×2700</w:t>
                  </w:r>
                </w:p>
                <w:p>
                  <w:pPr>
                    <w:pStyle w:val="null3"/>
                    <w:spacing w:after="120"/>
                    <w:jc w:val="left"/>
                  </w:pPr>
                  <w:r>
                    <w:rPr>
                      <w:rFonts w:ascii="仿宋_GB2312" w:hAnsi="仿宋_GB2312" w:cs="仿宋_GB2312" w:eastAsia="仿宋_GB2312"/>
                      <w:sz w:val="21"/>
                      <w:color w:val="0000FF"/>
                    </w:rPr>
                    <w:t>2.总质量(kg):12400-14000</w:t>
                  </w:r>
                </w:p>
                <w:p>
                  <w:pPr>
                    <w:pStyle w:val="null3"/>
                    <w:spacing w:after="120"/>
                    <w:jc w:val="left"/>
                  </w:pPr>
                  <w:r>
                    <w:rPr>
                      <w:rFonts w:ascii="仿宋_GB2312" w:hAnsi="仿宋_GB2312" w:cs="仿宋_GB2312" w:eastAsia="仿宋_GB2312"/>
                      <w:sz w:val="21"/>
                      <w:color w:val="0000FF"/>
                    </w:rPr>
                    <w:t>3.最高车速(km/h)≥85</w:t>
                  </w:r>
                </w:p>
                <w:p>
                  <w:pPr>
                    <w:pStyle w:val="null3"/>
                    <w:spacing w:after="120"/>
                    <w:jc w:val="left"/>
                  </w:pPr>
                  <w:r>
                    <w:rPr>
                      <w:rFonts w:ascii="仿宋_GB2312" w:hAnsi="仿宋_GB2312" w:cs="仿宋_GB2312" w:eastAsia="仿宋_GB2312"/>
                      <w:sz w:val="21"/>
                      <w:color w:val="0000FF"/>
                    </w:rPr>
                    <w:t>4.额定载质量(kg)≥4000</w:t>
                  </w:r>
                </w:p>
                <w:p>
                  <w:pPr>
                    <w:pStyle w:val="null3"/>
                    <w:spacing w:after="120"/>
                    <w:jc w:val="left"/>
                  </w:pPr>
                  <w:r>
                    <w:rPr>
                      <w:rFonts w:ascii="仿宋_GB2312" w:hAnsi="仿宋_GB2312" w:cs="仿宋_GB2312" w:eastAsia="仿宋_GB2312"/>
                      <w:sz w:val="21"/>
                      <w:color w:val="0000FF"/>
                    </w:rPr>
                    <w:t>5.驾驶室准乘人数(人)≥3</w:t>
                  </w:r>
                </w:p>
                <w:p>
                  <w:pPr>
                    <w:pStyle w:val="null3"/>
                    <w:spacing w:after="120"/>
                    <w:jc w:val="left"/>
                  </w:pPr>
                  <w:r>
                    <w:rPr>
                      <w:rFonts w:ascii="仿宋_GB2312" w:hAnsi="仿宋_GB2312" w:cs="仿宋_GB2312" w:eastAsia="仿宋_GB2312"/>
                      <w:sz w:val="21"/>
                      <w:color w:val="0000FF"/>
                    </w:rPr>
                    <w:t>6.轴距(mm)≥4000</w:t>
                  </w:r>
                </w:p>
                <w:p>
                  <w:pPr>
                    <w:pStyle w:val="null3"/>
                    <w:spacing w:after="120"/>
                    <w:jc w:val="left"/>
                  </w:pPr>
                  <w:r>
                    <w:rPr>
                      <w:rFonts w:ascii="仿宋_GB2312" w:hAnsi="仿宋_GB2312" w:cs="仿宋_GB2312" w:eastAsia="仿宋_GB2312"/>
                      <w:sz w:val="21"/>
                      <w:color w:val="0000FF"/>
                    </w:rPr>
                    <w:t>7.底盘电机峰值功率(kW)≥180</w:t>
                  </w:r>
                </w:p>
                <w:p>
                  <w:pPr>
                    <w:pStyle w:val="null3"/>
                    <w:spacing w:after="120"/>
                    <w:jc w:val="left"/>
                  </w:pPr>
                  <w:r>
                    <w:rPr>
                      <w:rFonts w:ascii="仿宋_GB2312" w:hAnsi="仿宋_GB2312" w:cs="仿宋_GB2312" w:eastAsia="仿宋_GB2312"/>
                      <w:sz w:val="21"/>
                      <w:color w:val="0000FF"/>
                    </w:rPr>
                    <w:t>8.高压水泵额定压力(MPa)≥12</w:t>
                  </w:r>
                </w:p>
                <w:p>
                  <w:pPr>
                    <w:pStyle w:val="null3"/>
                    <w:spacing w:after="120"/>
                    <w:jc w:val="left"/>
                  </w:pPr>
                  <w:r>
                    <w:rPr>
                      <w:rFonts w:ascii="仿宋_GB2312" w:hAnsi="仿宋_GB2312" w:cs="仿宋_GB2312" w:eastAsia="仿宋_GB2312"/>
                      <w:sz w:val="21"/>
                      <w:color w:val="0000FF"/>
                    </w:rPr>
                    <w:t>9.水箱容积(m³)≥6</w:t>
                  </w:r>
                </w:p>
                <w:p>
                  <w:pPr>
                    <w:pStyle w:val="null3"/>
                    <w:spacing w:after="120"/>
                    <w:jc w:val="left"/>
                  </w:pPr>
                  <w:r>
                    <w:rPr>
                      <w:rFonts w:ascii="仿宋_GB2312" w:hAnsi="仿宋_GB2312" w:cs="仿宋_GB2312" w:eastAsia="仿宋_GB2312"/>
                      <w:sz w:val="21"/>
                      <w:color w:val="0000FF"/>
                    </w:rPr>
                    <w:t>10.垃圾箱容积(m³)≥4</w:t>
                  </w:r>
                </w:p>
                <w:p>
                  <w:pPr>
                    <w:pStyle w:val="null3"/>
                    <w:spacing w:after="120"/>
                    <w:jc w:val="left"/>
                  </w:pPr>
                  <w:r>
                    <w:rPr>
                      <w:rFonts w:ascii="仿宋_GB2312" w:hAnsi="仿宋_GB2312" w:cs="仿宋_GB2312" w:eastAsia="仿宋_GB2312"/>
                      <w:sz w:val="21"/>
                      <w:color w:val="0000FF"/>
                    </w:rPr>
                    <w:t>11.洗扫净率(%)≥95</w:t>
                  </w:r>
                </w:p>
                <w:p>
                  <w:pPr>
                    <w:pStyle w:val="null3"/>
                    <w:spacing w:after="120"/>
                    <w:jc w:val="left"/>
                  </w:pPr>
                  <w:r>
                    <w:rPr>
                      <w:rFonts w:ascii="仿宋_GB2312" w:hAnsi="仿宋_GB2312" w:cs="仿宋_GB2312" w:eastAsia="仿宋_GB2312"/>
                      <w:sz w:val="21"/>
                      <w:color w:val="0000FF"/>
                    </w:rPr>
                    <w:t>12.卸料角(°)≥48</w:t>
                  </w:r>
                </w:p>
                <w:p>
                  <w:pPr>
                    <w:pStyle w:val="null3"/>
                    <w:spacing w:after="120"/>
                    <w:jc w:val="left"/>
                  </w:pPr>
                  <w:r>
                    <w:rPr>
                      <w:rFonts w:ascii="仿宋_GB2312" w:hAnsi="仿宋_GB2312" w:cs="仿宋_GB2312" w:eastAsia="仿宋_GB2312"/>
                      <w:sz w:val="21"/>
                      <w:color w:val="0000FF"/>
                    </w:rPr>
                    <w:t>13.电池总储电量(kWh)≥140</w:t>
                  </w:r>
                </w:p>
                <w:p>
                  <w:pPr>
                    <w:pStyle w:val="null3"/>
                    <w:spacing w:after="120"/>
                    <w:jc w:val="left"/>
                  </w:pPr>
                  <w:r>
                    <w:rPr>
                      <w:rFonts w:ascii="仿宋_GB2312" w:hAnsi="仿宋_GB2312" w:cs="仿宋_GB2312" w:eastAsia="仿宋_GB2312"/>
                      <w:sz w:val="21"/>
                      <w:color w:val="0000FF"/>
                    </w:rPr>
                    <w:t>14.风机电机额定功率(kW)≥30</w:t>
                  </w:r>
                </w:p>
                <w:p>
                  <w:pPr>
                    <w:pStyle w:val="null3"/>
                    <w:spacing w:after="120"/>
                    <w:jc w:val="left"/>
                  </w:pPr>
                  <w:r>
                    <w:rPr>
                      <w:rFonts w:ascii="仿宋_GB2312" w:hAnsi="仿宋_GB2312" w:cs="仿宋_GB2312" w:eastAsia="仿宋_GB2312"/>
                      <w:sz w:val="21"/>
                      <w:color w:val="0000FF"/>
                    </w:rPr>
                    <w:t>15.水泵、油泵电机额定功率(kW)≥20</w:t>
                  </w:r>
                </w:p>
                <w:p>
                  <w:pPr>
                    <w:pStyle w:val="null3"/>
                    <w:spacing w:after="120"/>
                    <w:jc w:val="left"/>
                  </w:pPr>
                  <w:r>
                    <w:rPr>
                      <w:rFonts w:ascii="仿宋_GB2312" w:hAnsi="仿宋_GB2312" w:cs="仿宋_GB2312" w:eastAsia="仿宋_GB2312"/>
                      <w:sz w:val="21"/>
                      <w:color w:val="0000FF"/>
                    </w:rPr>
                    <w:t>16.电池材质：磷酸铁锂或优于</w:t>
                  </w:r>
                </w:p>
                <w:p>
                  <w:pPr>
                    <w:pStyle w:val="null3"/>
                    <w:spacing w:after="120"/>
                    <w:jc w:val="left"/>
                  </w:pPr>
                  <w:r>
                    <w:rPr>
                      <w:rFonts w:ascii="仿宋_GB2312" w:hAnsi="仿宋_GB2312" w:cs="仿宋_GB2312" w:eastAsia="仿宋_GB2312"/>
                      <w:sz w:val="21"/>
                      <w:color w:val="0000FF"/>
                    </w:rPr>
                    <w:t>17.续驶里程(km，等速法)≥320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5吨装载机</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1辆</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1.斗容范围(m³)≥</w:t>
                  </w:r>
                  <w:r>
                    <w:rPr>
                      <w:rFonts w:ascii="仿宋_GB2312" w:hAnsi="仿宋_GB2312" w:cs="仿宋_GB2312" w:eastAsia="仿宋_GB2312"/>
                      <w:sz w:val="21"/>
                      <w:color w:val="0000FF"/>
                    </w:rPr>
                    <w:t>2.5</w:t>
                  </w:r>
                </w:p>
                <w:p>
                  <w:pPr>
                    <w:pStyle w:val="null3"/>
                    <w:spacing w:after="120"/>
                    <w:jc w:val="left"/>
                  </w:pPr>
                  <w:r>
                    <w:rPr>
                      <w:rFonts w:ascii="仿宋_GB2312" w:hAnsi="仿宋_GB2312" w:cs="仿宋_GB2312" w:eastAsia="仿宋_GB2312"/>
                      <w:sz w:val="21"/>
                      <w:color w:val="0000FF"/>
                    </w:rPr>
                    <w:t>2.额定载重量(kg)≥</w:t>
                  </w:r>
                  <w:r>
                    <w:rPr>
                      <w:rFonts w:ascii="仿宋_GB2312" w:hAnsi="仿宋_GB2312" w:cs="仿宋_GB2312" w:eastAsia="仿宋_GB2312"/>
                      <w:sz w:val="21"/>
                      <w:color w:val="0000FF"/>
                    </w:rPr>
                    <w:t>5000</w:t>
                  </w:r>
                </w:p>
                <w:p>
                  <w:pPr>
                    <w:pStyle w:val="null3"/>
                    <w:spacing w:after="120"/>
                    <w:jc w:val="left"/>
                  </w:pPr>
                  <w:r>
                    <w:rPr>
                      <w:rFonts w:ascii="仿宋_GB2312" w:hAnsi="仿宋_GB2312" w:cs="仿宋_GB2312" w:eastAsia="仿宋_GB2312"/>
                      <w:sz w:val="21"/>
                      <w:color w:val="0000FF"/>
                    </w:rPr>
                    <w:t>3.整机操作质量(kg)≥16000</w:t>
                  </w:r>
                </w:p>
                <w:p>
                  <w:pPr>
                    <w:pStyle w:val="null3"/>
                    <w:spacing w:after="120"/>
                    <w:jc w:val="left"/>
                  </w:pPr>
                  <w:r>
                    <w:rPr>
                      <w:rFonts w:ascii="仿宋_GB2312" w:hAnsi="仿宋_GB2312" w:cs="仿宋_GB2312" w:eastAsia="仿宋_GB2312"/>
                      <w:sz w:val="21"/>
                      <w:color w:val="0000FF"/>
                    </w:rPr>
                    <w:t>4.牵引力(kN)≥155</w:t>
                  </w:r>
                </w:p>
                <w:p>
                  <w:pPr>
                    <w:pStyle w:val="null3"/>
                    <w:spacing w:after="120"/>
                    <w:jc w:val="left"/>
                  </w:pPr>
                  <w:r>
                    <w:rPr>
                      <w:rFonts w:ascii="仿宋_GB2312" w:hAnsi="仿宋_GB2312" w:cs="仿宋_GB2312" w:eastAsia="仿宋_GB2312"/>
                      <w:sz w:val="21"/>
                      <w:color w:val="0000FF"/>
                    </w:rPr>
                    <w:t>5.最大掘起力(kN)≥170</w:t>
                  </w:r>
                </w:p>
                <w:p>
                  <w:pPr>
                    <w:pStyle w:val="null3"/>
                    <w:spacing w:after="120"/>
                    <w:jc w:val="left"/>
                  </w:pPr>
                  <w:r>
                    <w:rPr>
                      <w:rFonts w:ascii="仿宋_GB2312" w:hAnsi="仿宋_GB2312" w:cs="仿宋_GB2312" w:eastAsia="仿宋_GB2312"/>
                      <w:sz w:val="21"/>
                      <w:color w:val="0000FF"/>
                    </w:rPr>
                    <w:t>6.整机外形尺寸(长x宽x高mm)≤8150x3000x3500</w:t>
                  </w:r>
                </w:p>
                <w:p>
                  <w:pPr>
                    <w:pStyle w:val="null3"/>
                    <w:spacing w:after="120"/>
                    <w:jc w:val="left"/>
                  </w:pPr>
                  <w:r>
                    <w:rPr>
                      <w:rFonts w:ascii="仿宋_GB2312" w:hAnsi="仿宋_GB2312" w:cs="仿宋_GB2312" w:eastAsia="仿宋_GB2312"/>
                      <w:sz w:val="21"/>
                      <w:color w:val="0000FF"/>
                    </w:rPr>
                    <w:t>7.卸载高度(mm)≥3080</w:t>
                  </w:r>
                </w:p>
                <w:p>
                  <w:pPr>
                    <w:pStyle w:val="null3"/>
                    <w:spacing w:after="120"/>
                    <w:jc w:val="left"/>
                  </w:pPr>
                  <w:r>
                    <w:rPr>
                      <w:rFonts w:ascii="仿宋_GB2312" w:hAnsi="仿宋_GB2312" w:cs="仿宋_GB2312" w:eastAsia="仿宋_GB2312"/>
                      <w:sz w:val="21"/>
                      <w:color w:val="0000FF"/>
                    </w:rPr>
                    <w:t>8.卸载距离(mm)≥1250</w:t>
                  </w:r>
                </w:p>
                <w:p>
                  <w:pPr>
                    <w:pStyle w:val="null3"/>
                    <w:spacing w:after="120"/>
                    <w:jc w:val="left"/>
                  </w:pPr>
                  <w:r>
                    <w:rPr>
                      <w:rFonts w:ascii="仿宋_GB2312" w:hAnsi="仿宋_GB2312" w:cs="仿宋_GB2312" w:eastAsia="仿宋_GB2312"/>
                      <w:sz w:val="21"/>
                      <w:color w:val="0000FF"/>
                    </w:rPr>
                    <w:t>9.轴距(mmn)≤3250</w:t>
                  </w:r>
                </w:p>
                <w:p>
                  <w:pPr>
                    <w:pStyle w:val="null3"/>
                    <w:spacing w:after="120"/>
                    <w:jc w:val="left"/>
                  </w:pPr>
                  <w:r>
                    <w:rPr>
                      <w:rFonts w:ascii="仿宋_GB2312" w:hAnsi="仿宋_GB2312" w:cs="仿宋_GB2312" w:eastAsia="仿宋_GB2312"/>
                      <w:sz w:val="21"/>
                      <w:color w:val="0000FF"/>
                    </w:rPr>
                    <w:t>10.轮距(mm)</w:t>
                  </w:r>
                  <w:r>
                    <w:rPr>
                      <w:rFonts w:ascii="仿宋_GB2312" w:hAnsi="仿宋_GB2312" w:cs="仿宋_GB2312" w:eastAsia="仿宋_GB2312"/>
                      <w:sz w:val="21"/>
                      <w:color w:val="0000FF"/>
                    </w:rPr>
                    <w:t>≤2250</w:t>
                  </w:r>
                </w:p>
                <w:p>
                  <w:pPr>
                    <w:pStyle w:val="null3"/>
                    <w:spacing w:after="120"/>
                    <w:jc w:val="left"/>
                  </w:pPr>
                  <w:r>
                    <w:rPr>
                      <w:rFonts w:ascii="仿宋_GB2312" w:hAnsi="仿宋_GB2312" w:cs="仿宋_GB2312" w:eastAsia="仿宋_GB2312"/>
                      <w:sz w:val="21"/>
                      <w:color w:val="0000FF"/>
                    </w:rPr>
                    <w:t>11.车体转角(°)</w:t>
                  </w:r>
                  <w:r>
                    <w:rPr>
                      <w:rFonts w:ascii="仿宋_GB2312" w:hAnsi="仿宋_GB2312" w:cs="仿宋_GB2312" w:eastAsia="仿宋_GB2312"/>
                      <w:sz w:val="21"/>
                      <w:color w:val="0000FF"/>
                    </w:rPr>
                    <w:t>±35</w:t>
                  </w:r>
                </w:p>
                <w:p>
                  <w:pPr>
                    <w:pStyle w:val="null3"/>
                    <w:spacing w:after="120"/>
                    <w:jc w:val="left"/>
                  </w:pPr>
                  <w:r>
                    <w:rPr>
                      <w:rFonts w:ascii="仿宋_GB2312" w:hAnsi="仿宋_GB2312" w:cs="仿宋_GB2312" w:eastAsia="仿宋_GB2312"/>
                      <w:sz w:val="21"/>
                      <w:color w:val="0000FF"/>
                    </w:rPr>
                    <w:t>12.最大爬坡能力(°)≥28</w:t>
                  </w:r>
                </w:p>
                <w:p>
                  <w:pPr>
                    <w:pStyle w:val="null3"/>
                    <w:spacing w:after="120"/>
                    <w:jc w:val="left"/>
                  </w:pPr>
                  <w:r>
                    <w:rPr>
                      <w:rFonts w:ascii="仿宋_GB2312" w:hAnsi="仿宋_GB2312" w:cs="仿宋_GB2312" w:eastAsia="仿宋_GB2312"/>
                      <w:sz w:val="21"/>
                      <w:color w:val="0000FF"/>
                    </w:rPr>
                    <w:t>13.行驶速度（km/h）≤40</w:t>
                  </w:r>
                </w:p>
                <w:p>
                  <w:pPr>
                    <w:pStyle w:val="null3"/>
                    <w:spacing w:after="120"/>
                    <w:jc w:val="left"/>
                  </w:pPr>
                  <w:r>
                    <w:rPr>
                      <w:rFonts w:ascii="仿宋_GB2312" w:hAnsi="仿宋_GB2312" w:cs="仿宋_GB2312" w:eastAsia="仿宋_GB2312"/>
                      <w:sz w:val="21"/>
                      <w:color w:val="0000FF"/>
                    </w:rPr>
                    <w:t>14.后退速度（km/h）≤16</w:t>
                  </w:r>
                </w:p>
                <w:p>
                  <w:pPr>
                    <w:pStyle w:val="null3"/>
                    <w:spacing w:after="120"/>
                    <w:jc w:val="left"/>
                  </w:pPr>
                  <w:r>
                    <w:rPr>
                      <w:rFonts w:ascii="仿宋_GB2312" w:hAnsi="仿宋_GB2312" w:cs="仿宋_GB2312" w:eastAsia="仿宋_GB2312"/>
                      <w:sz w:val="21"/>
                      <w:color w:val="0000FF"/>
                    </w:rPr>
                    <w:t>15.发动机功率（kw）≥170</w:t>
                  </w:r>
                </w:p>
                <w:p>
                  <w:pPr>
                    <w:pStyle w:val="null3"/>
                    <w:spacing w:after="120"/>
                    <w:jc w:val="left"/>
                  </w:pPr>
                  <w:r>
                    <w:rPr>
                      <w:rFonts w:ascii="仿宋_GB2312" w:hAnsi="仿宋_GB2312" w:cs="仿宋_GB2312" w:eastAsia="仿宋_GB2312"/>
                      <w:sz w:val="21"/>
                      <w:color w:val="0000FF"/>
                    </w:rPr>
                    <w:t>16.排放标准</w:t>
                  </w:r>
                  <w:r>
                    <w:rPr>
                      <w:rFonts w:ascii="仿宋_GB2312" w:hAnsi="仿宋_GB2312" w:cs="仿宋_GB2312" w:eastAsia="仿宋_GB2312"/>
                      <w:sz w:val="21"/>
                      <w:color w:val="0000FF"/>
                    </w:rPr>
                    <w:t>：</w:t>
                  </w:r>
                  <w:r>
                    <w:rPr>
                      <w:rFonts w:ascii="仿宋_GB2312" w:hAnsi="仿宋_GB2312" w:cs="仿宋_GB2312" w:eastAsia="仿宋_GB2312"/>
                      <w:sz w:val="21"/>
                      <w:color w:val="0000FF"/>
                    </w:rPr>
                    <w:t>柴油</w:t>
                  </w:r>
                  <w:r>
                    <w:rPr>
                      <w:rFonts w:ascii="仿宋_GB2312" w:hAnsi="仿宋_GB2312" w:cs="仿宋_GB2312" w:eastAsia="仿宋_GB2312"/>
                      <w:sz w:val="21"/>
                      <w:color w:val="0000FF"/>
                    </w:rPr>
                    <w:t>；</w:t>
                  </w:r>
                  <w:r>
                    <w:rPr>
                      <w:rFonts w:ascii="仿宋_GB2312" w:hAnsi="仿宋_GB2312" w:cs="仿宋_GB2312" w:eastAsia="仿宋_GB2312"/>
                      <w:sz w:val="21"/>
                      <w:color w:val="0000FF"/>
                    </w:rPr>
                    <w:t>国</w:t>
                  </w:r>
                  <w:r>
                    <w:rPr>
                      <w:rFonts w:ascii="仿宋_GB2312" w:hAnsi="仿宋_GB2312" w:cs="仿宋_GB2312" w:eastAsia="仿宋_GB2312"/>
                      <w:sz w:val="21"/>
                      <w:color w:val="0000FF"/>
                    </w:rPr>
                    <w:t>IV或更优</w:t>
                  </w:r>
                </w:p>
                <w:p>
                  <w:pPr>
                    <w:pStyle w:val="null3"/>
                    <w:spacing w:after="120"/>
                    <w:jc w:val="left"/>
                  </w:pPr>
                  <w:r>
                    <w:rPr>
                      <w:rFonts w:ascii="仿宋_GB2312" w:hAnsi="仿宋_GB2312" w:cs="仿宋_GB2312" w:eastAsia="仿宋_GB2312"/>
                      <w:sz w:val="21"/>
                      <w:color w:val="0000FF"/>
                    </w:rPr>
                    <w:t>17.制动气压(MPa)≥0.7</w:t>
                  </w:r>
                </w:p>
                <w:p>
                  <w:pPr>
                    <w:pStyle w:val="null3"/>
                    <w:spacing w:after="120"/>
                    <w:jc w:val="left"/>
                  </w:pPr>
                  <w:r>
                    <w:rPr>
                      <w:rFonts w:ascii="仿宋_GB2312" w:hAnsi="仿宋_GB2312" w:cs="仿宋_GB2312" w:eastAsia="仿宋_GB2312"/>
                      <w:sz w:val="21"/>
                      <w:color w:val="0000FF"/>
                    </w:rPr>
                    <w:t>18.转向角度(°)</w:t>
                  </w:r>
                  <w:r>
                    <w:rPr>
                      <w:rFonts w:ascii="仿宋_GB2312" w:hAnsi="仿宋_GB2312" w:cs="仿宋_GB2312" w:eastAsia="仿宋_GB2312"/>
                      <w:sz w:val="21"/>
                      <w:color w:val="0000FF"/>
                    </w:rPr>
                    <w:t>≥±35</w:t>
                  </w:r>
                </w:p>
                <w:p>
                  <w:pPr>
                    <w:pStyle w:val="null3"/>
                    <w:spacing w:after="120"/>
                    <w:jc w:val="left"/>
                  </w:pPr>
                  <w:r>
                    <w:rPr>
                      <w:rFonts w:ascii="仿宋_GB2312" w:hAnsi="仿宋_GB2312" w:cs="仿宋_GB2312" w:eastAsia="仿宋_GB2312"/>
                      <w:sz w:val="21"/>
                      <w:color w:val="0000FF"/>
                    </w:rPr>
                    <w:t>19.工作液压系统三项和(s)≤9.5</w:t>
                  </w:r>
                </w:p>
              </w:tc>
            </w:tr>
          </w:tbl>
          <w:p>
            <w:pPr>
              <w:pStyle w:val="null3"/>
            </w:pPr>
            <w:r>
              <w:rPr>
                <w:rFonts w:ascii="仿宋_GB2312" w:hAnsi="仿宋_GB2312" w:cs="仿宋_GB2312" w:eastAsia="仿宋_GB2312"/>
                <w:sz w:val="21"/>
                <w:b/>
                <w:color w:val="0000FF"/>
              </w:rPr>
              <w:t>备注：</w:t>
            </w:r>
            <w:r>
              <w:rPr>
                <w:rFonts w:ascii="仿宋_GB2312" w:hAnsi="仿宋_GB2312" w:cs="仿宋_GB2312" w:eastAsia="仿宋_GB2312"/>
                <w:sz w:val="21"/>
                <w:b/>
                <w:color w:val="0000FF"/>
              </w:rPr>
              <w:t>1、本项目核心产品为：18吨纯电动多功能抑尘车。如通过初审的有效供应商拟供核心产品的品牌相同，按照《政府采购货物和服务招标投标管理办法》（第87号令）规定，提供相同核心品牌产品且通过资格审查、符合性审查的不同供应商参加同一合同项下投标的，按一家供应商计算，评审后得分最高的同品牌供应商获得中标人推荐资格；评审得分相同的，以“培训及售后服务”得分高的优先，其他同品牌供应商不作为中标候选人。2、本项目所涉及的所有车辆报价须包含车辆购置税、交强险及车辆上户的所有费用，供应商自行考虑计入投标报价中，采购人不在单独支付”。</w:t>
            </w:r>
          </w:p>
          <w:p>
            <w:pPr>
              <w:pStyle w:val="null3"/>
            </w:pPr>
            <w:r>
              <w:rPr>
                <w:rFonts w:ascii="仿宋_GB2312" w:hAnsi="仿宋_GB2312" w:cs="仿宋_GB2312" w:eastAsia="仿宋_GB2312"/>
                <w:sz w:val="21"/>
                <w:b/>
                <w:color w:val="0000FF"/>
              </w:rPr>
              <w:t>四、采购标的需满足的其他要求：</w:t>
            </w:r>
          </w:p>
          <w:tbl>
            <w:tblPr>
              <w:tblInd w:type="dxa" w:w="120"/>
              <w:tblBorders>
                <w:top w:val="none" w:color="000000" w:sz="4"/>
                <w:left w:val="none" w:color="000000" w:sz="4"/>
                <w:bottom w:val="none" w:color="000000" w:sz="4"/>
                <w:right w:val="none" w:color="000000" w:sz="4"/>
                <w:insideH w:val="none"/>
                <w:insideV w:val="none"/>
              </w:tblBorders>
            </w:tblPr>
            <w:tblGrid>
              <w:gridCol w:w="143"/>
              <w:gridCol w:w="456"/>
              <w:gridCol w:w="1954"/>
            </w:tblGrid>
            <w:tr>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序号</w:t>
                  </w:r>
                </w:p>
              </w:tc>
              <w:tc>
                <w:tcPr>
                  <w:tcW w:type="dxa" w:w="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名称</w:t>
                  </w:r>
                </w:p>
              </w:tc>
              <w:tc>
                <w:tcPr>
                  <w:tcW w:type="dxa" w:w="19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其他</w:t>
                  </w:r>
                  <w:r>
                    <w:rPr>
                      <w:rFonts w:ascii="仿宋_GB2312" w:hAnsi="仿宋_GB2312" w:cs="仿宋_GB2312" w:eastAsia="仿宋_GB2312"/>
                      <w:sz w:val="21"/>
                      <w:color w:val="0000FF"/>
                    </w:rPr>
                    <w:t>要求</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18吨纯电动多功能抑尘车</w:t>
                  </w: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性能要求</w:t>
                  </w:r>
                  <w:r>
                    <w:rPr>
                      <w:rFonts w:ascii="仿宋_GB2312" w:hAnsi="仿宋_GB2312" w:cs="仿宋_GB2312" w:eastAsia="仿宋_GB2312"/>
                      <w:sz w:val="21"/>
                      <w:color w:val="0000FF"/>
                    </w:rPr>
                    <w:t>：</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w:t>
                  </w:r>
                  <w:r>
                    <w:rPr>
                      <w:rFonts w:ascii="仿宋_GB2312" w:hAnsi="仿宋_GB2312" w:cs="仿宋_GB2312" w:eastAsia="仿宋_GB2312"/>
                      <w:sz w:val="21"/>
                      <w:color w:val="0000FF"/>
                    </w:rPr>
                    <w:t>）</w:t>
                  </w:r>
                  <w:r>
                    <w:rPr>
                      <w:rFonts w:ascii="仿宋_GB2312" w:hAnsi="仿宋_GB2312" w:cs="仿宋_GB2312" w:eastAsia="仿宋_GB2312"/>
                      <w:sz w:val="21"/>
                      <w:color w:val="0000FF"/>
                    </w:rPr>
                    <w:t>水罐需进行防腐防锈处理，并设置有低水位报警。</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w:t>
                  </w:r>
                  <w:r>
                    <w:rPr>
                      <w:rFonts w:ascii="仿宋_GB2312" w:hAnsi="仿宋_GB2312" w:cs="仿宋_GB2312" w:eastAsia="仿宋_GB2312"/>
                      <w:sz w:val="21"/>
                      <w:color w:val="0000FF"/>
                    </w:rPr>
                    <w:t>）</w:t>
                  </w:r>
                  <w:r>
                    <w:rPr>
                      <w:rFonts w:ascii="仿宋_GB2312" w:hAnsi="仿宋_GB2312" w:cs="仿宋_GB2312" w:eastAsia="仿宋_GB2312"/>
                      <w:sz w:val="21"/>
                      <w:color w:val="0000FF"/>
                    </w:rPr>
                    <w:t>风机转速需分为</w:t>
                  </w:r>
                  <w:r>
                    <w:rPr>
                      <w:rFonts w:ascii="仿宋_GB2312" w:hAnsi="仿宋_GB2312" w:cs="仿宋_GB2312" w:eastAsia="仿宋_GB2312"/>
                      <w:sz w:val="21"/>
                      <w:color w:val="0000FF"/>
                    </w:rPr>
                    <w:t>“标准”、“强力”两种或更多模式。</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3</w:t>
                  </w:r>
                  <w:r>
                    <w:rPr>
                      <w:rFonts w:ascii="仿宋_GB2312" w:hAnsi="仿宋_GB2312" w:cs="仿宋_GB2312" w:eastAsia="仿宋_GB2312"/>
                      <w:sz w:val="21"/>
                      <w:color w:val="0000FF"/>
                    </w:rPr>
                    <w:t>）</w:t>
                  </w:r>
                  <w:r>
                    <w:rPr>
                      <w:rFonts w:ascii="仿宋_GB2312" w:hAnsi="仿宋_GB2312" w:cs="仿宋_GB2312" w:eastAsia="仿宋_GB2312"/>
                      <w:sz w:val="21"/>
                      <w:color w:val="0000FF"/>
                    </w:rPr>
                    <w:t>车辆需配有鸭嘴、圆锥冲洗喷嘴、后洒水、后浇灌、水枪功能。</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4</w:t>
                  </w:r>
                  <w:r>
                    <w:rPr>
                      <w:rFonts w:ascii="仿宋_GB2312" w:hAnsi="仿宋_GB2312" w:cs="仿宋_GB2312" w:eastAsia="仿宋_GB2312"/>
                      <w:sz w:val="21"/>
                      <w:color w:val="0000FF"/>
                    </w:rPr>
                    <w:t>）</w:t>
                  </w:r>
                  <w:r>
                    <w:rPr>
                      <w:rFonts w:ascii="仿宋_GB2312" w:hAnsi="仿宋_GB2312" w:cs="仿宋_GB2312" w:eastAsia="仿宋_GB2312"/>
                      <w:sz w:val="21"/>
                      <w:color w:val="0000FF"/>
                    </w:rPr>
                    <w:t>需通过单独的电机带动低压水泵，不通过底盘取力，作业速度不受限制。</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5</w:t>
                  </w:r>
                  <w:r>
                    <w:rPr>
                      <w:rFonts w:ascii="仿宋_GB2312" w:hAnsi="仿宋_GB2312" w:cs="仿宋_GB2312" w:eastAsia="仿宋_GB2312"/>
                      <w:sz w:val="21"/>
                      <w:color w:val="0000FF"/>
                    </w:rPr>
                    <w:t>）</w:t>
                  </w:r>
                  <w:r>
                    <w:rPr>
                      <w:rFonts w:ascii="仿宋_GB2312" w:hAnsi="仿宋_GB2312" w:cs="仿宋_GB2312" w:eastAsia="仿宋_GB2312"/>
                      <w:sz w:val="21"/>
                      <w:color w:val="0000FF"/>
                    </w:rPr>
                    <w:t>驾驶室内需设置有集成式控制盒和显示屏，可控制车辆全部作业功能，并需在后作业平台附近设置控制面板，用于控制风炮作业的部分动作。</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6</w:t>
                  </w:r>
                  <w:r>
                    <w:rPr>
                      <w:rFonts w:ascii="仿宋_GB2312" w:hAnsi="仿宋_GB2312" w:cs="仿宋_GB2312" w:eastAsia="仿宋_GB2312"/>
                      <w:sz w:val="21"/>
                      <w:color w:val="0000FF"/>
                    </w:rPr>
                    <w:t>）</w:t>
                  </w:r>
                  <w:r>
                    <w:rPr>
                      <w:rFonts w:ascii="仿宋_GB2312" w:hAnsi="仿宋_GB2312" w:cs="仿宋_GB2312" w:eastAsia="仿宋_GB2312"/>
                      <w:sz w:val="21"/>
                      <w:color w:val="0000FF"/>
                    </w:rPr>
                    <w:t>需设置有多重安全防护装置与报警系统，水箱水位、上装电机转速可在显示屏上集中显示信息，并可显示故障和及时预警</w:t>
                  </w:r>
                  <w:r>
                    <w:rPr>
                      <w:rFonts w:ascii="仿宋_GB2312" w:hAnsi="仿宋_GB2312" w:cs="仿宋_GB2312" w:eastAsia="仿宋_GB2312"/>
                      <w:sz w:val="21"/>
                      <w:color w:val="0000FF"/>
                      <w:u w:val="single"/>
                    </w:rPr>
                    <w:t>。</w:t>
                  </w:r>
                  <w:r>
                    <w:rPr>
                      <w:rFonts w:ascii="仿宋_GB2312" w:hAnsi="仿宋_GB2312" w:cs="仿宋_GB2312" w:eastAsia="仿宋_GB2312"/>
                      <w:sz w:val="19"/>
                    </w:rPr>
                    <w:t xml:space="preserve"> </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7</w:t>
                  </w:r>
                  <w:r>
                    <w:rPr>
                      <w:rFonts w:ascii="仿宋_GB2312" w:hAnsi="仿宋_GB2312" w:cs="仿宋_GB2312" w:eastAsia="仿宋_GB2312"/>
                      <w:sz w:val="21"/>
                      <w:color w:val="0000FF"/>
                    </w:rPr>
                    <w:t>）</w:t>
                  </w:r>
                  <w:r>
                    <w:rPr>
                      <w:rFonts w:ascii="仿宋_GB2312" w:hAnsi="仿宋_GB2312" w:cs="仿宋_GB2312" w:eastAsia="仿宋_GB2312"/>
                      <w:sz w:val="21"/>
                      <w:color w:val="0000FF"/>
                    </w:rPr>
                    <w:t>车辆后部需装有摄相头，驾驶室内装有彩色显示屏。风炮作业时，可以在驾驶室内监视风炮的作业状态，避免发生碰撞。</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8</w:t>
                  </w:r>
                  <w:r>
                    <w:rPr>
                      <w:rFonts w:ascii="仿宋_GB2312" w:hAnsi="仿宋_GB2312" w:cs="仿宋_GB2312" w:eastAsia="仿宋_GB2312"/>
                      <w:sz w:val="21"/>
                      <w:color w:val="0000FF"/>
                    </w:rPr>
                    <w:t>）</w:t>
                  </w:r>
                  <w:r>
                    <w:rPr>
                      <w:rFonts w:ascii="仿宋_GB2312" w:hAnsi="仿宋_GB2312" w:cs="仿宋_GB2312" w:eastAsia="仿宋_GB2312"/>
                      <w:sz w:val="21"/>
                      <w:color w:val="0000FF"/>
                    </w:rPr>
                    <w:t>需设置有警示灯、安全标贴、作业音乐等。</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18吨功能抑尘车（燃油）</w:t>
                  </w: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性能要求</w:t>
                  </w:r>
                  <w:r>
                    <w:rPr>
                      <w:rFonts w:ascii="仿宋_GB2312" w:hAnsi="仿宋_GB2312" w:cs="仿宋_GB2312" w:eastAsia="仿宋_GB2312"/>
                      <w:sz w:val="21"/>
                      <w:color w:val="0000FF"/>
                    </w:rPr>
                    <w:t>：</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w:t>
                  </w:r>
                  <w:r>
                    <w:rPr>
                      <w:rFonts w:ascii="仿宋_GB2312" w:hAnsi="仿宋_GB2312" w:cs="仿宋_GB2312" w:eastAsia="仿宋_GB2312"/>
                      <w:sz w:val="21"/>
                      <w:color w:val="0000FF"/>
                    </w:rPr>
                    <w:t>）水罐需进行专业防腐涂层漆，保证防腐效果。</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w:t>
                  </w:r>
                  <w:r>
                    <w:rPr>
                      <w:rFonts w:ascii="仿宋_GB2312" w:hAnsi="仿宋_GB2312" w:cs="仿宋_GB2312" w:eastAsia="仿宋_GB2312"/>
                      <w:sz w:val="21"/>
                      <w:color w:val="0000FF"/>
                    </w:rPr>
                    <w:t>）水罐需设置有低水位报警，避免水泵因无水运转而损坏。</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3</w:t>
                  </w:r>
                  <w:r>
                    <w:rPr>
                      <w:rFonts w:ascii="仿宋_GB2312" w:hAnsi="仿宋_GB2312" w:cs="仿宋_GB2312" w:eastAsia="仿宋_GB2312"/>
                      <w:sz w:val="21"/>
                      <w:color w:val="0000FF"/>
                    </w:rPr>
                    <w:t>）风炮的风机转速需可无级调节，满足不同喷雾距离的需要。</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4</w:t>
                  </w:r>
                  <w:r>
                    <w:rPr>
                      <w:rFonts w:ascii="仿宋_GB2312" w:hAnsi="仿宋_GB2312" w:cs="仿宋_GB2312" w:eastAsia="仿宋_GB2312"/>
                      <w:sz w:val="21"/>
                      <w:color w:val="0000FF"/>
                    </w:rPr>
                    <w:t>）雾炮水路系统需具有水过滤器，对进入雾炮喷嘴的水进行精滤，过滤大颗粒杂质，有效避免喷嘴堵塞。</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5</w:t>
                  </w:r>
                  <w:r>
                    <w:rPr>
                      <w:rFonts w:ascii="仿宋_GB2312" w:hAnsi="仿宋_GB2312" w:cs="仿宋_GB2312" w:eastAsia="仿宋_GB2312"/>
                      <w:sz w:val="21"/>
                      <w:color w:val="0000FF"/>
                    </w:rPr>
                    <w:t>）车辆需设置有多重安全防护装置与报警系统，可实时监控副发工作状况、风机转速，在控制盒上集中显示信息，故障及时预警</w:t>
                  </w:r>
                  <w:r>
                    <w:rPr>
                      <w:rFonts w:ascii="仿宋_GB2312" w:hAnsi="仿宋_GB2312" w:cs="仿宋_GB2312" w:eastAsia="仿宋_GB2312"/>
                      <w:sz w:val="21"/>
                      <w:color w:val="0000FF"/>
                      <w:u w:val="single"/>
                    </w:rPr>
                    <w:t>。</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6</w:t>
                  </w:r>
                  <w:r>
                    <w:rPr>
                      <w:rFonts w:ascii="仿宋_GB2312" w:hAnsi="仿宋_GB2312" w:cs="仿宋_GB2312" w:eastAsia="仿宋_GB2312"/>
                      <w:sz w:val="21"/>
                      <w:color w:val="0000FF"/>
                    </w:rPr>
                    <w:t>）车辆需可多点操作，驾驶员需可在驾驶室内的控制盒就能控制车辆全部作业功能，需要在驾驶室外进行部分作业控制时可切换到车外的总线面板进行操作。</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7</w:t>
                  </w:r>
                  <w:r>
                    <w:rPr>
                      <w:rFonts w:ascii="仿宋_GB2312" w:hAnsi="仿宋_GB2312" w:cs="仿宋_GB2312" w:eastAsia="仿宋_GB2312"/>
                      <w:sz w:val="21"/>
                      <w:color w:val="0000FF"/>
                    </w:rPr>
                    <w:t>）车辆需设置有摄相头和驾驶室内彩色显示屏，方便操作人员实时监控风炮状态，避免发生碰撞。</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8</w:t>
                  </w:r>
                  <w:r>
                    <w:rPr>
                      <w:rFonts w:ascii="仿宋_GB2312" w:hAnsi="仿宋_GB2312" w:cs="仿宋_GB2312" w:eastAsia="仿宋_GB2312"/>
                      <w:sz w:val="21"/>
                      <w:color w:val="0000FF"/>
                    </w:rPr>
                    <w:t>）车辆需具有警示灯、安全标贴、作业音乐等结构功能。</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9</w:t>
                  </w:r>
                  <w:r>
                    <w:rPr>
                      <w:rFonts w:ascii="仿宋_GB2312" w:hAnsi="仿宋_GB2312" w:cs="仿宋_GB2312" w:eastAsia="仿宋_GB2312"/>
                      <w:sz w:val="21"/>
                      <w:color w:val="0000FF"/>
                    </w:rPr>
                    <w:t>）车辆在需配置高性能喷雾系统的同时，还配有低压清洗功能，包括圆锥喷嘴对冲、后洒水喷嘴、后作业水炮。</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10</w:t>
                  </w:r>
                  <w:r>
                    <w:rPr>
                      <w:rFonts w:ascii="仿宋_GB2312" w:hAnsi="仿宋_GB2312" w:cs="仿宋_GB2312" w:eastAsia="仿宋_GB2312"/>
                      <w:sz w:val="21"/>
                      <w:color w:val="0000FF"/>
                    </w:rPr>
                    <w:t>）副发动机需通过弹性连轴器将液压油泵与发动机输出轴直接连接。</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3</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12吨纯电动洗扫车</w:t>
                  </w: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性能要求</w:t>
                  </w:r>
                  <w:r>
                    <w:rPr>
                      <w:rFonts w:ascii="仿宋_GB2312" w:hAnsi="仿宋_GB2312" w:cs="仿宋_GB2312" w:eastAsia="仿宋_GB2312"/>
                      <w:sz w:val="21"/>
                      <w:color w:val="0000FF"/>
                    </w:rPr>
                    <w:t>：</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w:t>
                  </w:r>
                  <w:r>
                    <w:rPr>
                      <w:rFonts w:ascii="仿宋_GB2312" w:hAnsi="仿宋_GB2312" w:cs="仿宋_GB2312" w:eastAsia="仿宋_GB2312"/>
                      <w:sz w:val="21"/>
                      <w:color w:val="0000FF"/>
                    </w:rPr>
                    <w:t>）需配有独立的风机电机。</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w:t>
                  </w:r>
                  <w:r>
                    <w:rPr>
                      <w:rFonts w:ascii="仿宋_GB2312" w:hAnsi="仿宋_GB2312" w:cs="仿宋_GB2312" w:eastAsia="仿宋_GB2312"/>
                      <w:sz w:val="21"/>
                      <w:color w:val="0000FF"/>
                    </w:rPr>
                    <w:t>）扫盘需具有防撞避障和自动复位功能。</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3</w:t>
                  </w:r>
                  <w:r>
                    <w:rPr>
                      <w:rFonts w:ascii="仿宋_GB2312" w:hAnsi="仿宋_GB2312" w:cs="仿宋_GB2312" w:eastAsia="仿宋_GB2312"/>
                      <w:sz w:val="21"/>
                      <w:color w:val="0000FF"/>
                    </w:rPr>
                    <w:t>）左、右高压侧喷杆与吸嘴需采用</w:t>
                  </w:r>
                  <w:r>
                    <w:rPr>
                      <w:rFonts w:ascii="仿宋_GB2312" w:hAnsi="仿宋_GB2312" w:cs="仿宋_GB2312" w:eastAsia="仿宋_GB2312"/>
                      <w:sz w:val="21"/>
                      <w:color w:val="0000FF"/>
                    </w:rPr>
                    <w:t>“V”型布置，气控操作收放，可调整“V”形角度及高压水喷嘴角度。</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4</w:t>
                  </w:r>
                  <w:r>
                    <w:rPr>
                      <w:rFonts w:ascii="仿宋_GB2312" w:hAnsi="仿宋_GB2312" w:cs="仿宋_GB2312" w:eastAsia="仿宋_GB2312"/>
                      <w:sz w:val="21"/>
                      <w:color w:val="0000FF"/>
                    </w:rPr>
                    <w:t>）吸嘴总宽需不小于</w:t>
                  </w:r>
                  <w:r>
                    <w:rPr>
                      <w:rFonts w:ascii="仿宋_GB2312" w:hAnsi="仿宋_GB2312" w:cs="仿宋_GB2312" w:eastAsia="仿宋_GB2312"/>
                      <w:sz w:val="21"/>
                      <w:color w:val="0000FF"/>
                    </w:rPr>
                    <w:t>1800mm，吸污宽度不小于1700mm。</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5</w:t>
                  </w:r>
                  <w:r>
                    <w:rPr>
                      <w:rFonts w:ascii="仿宋_GB2312" w:hAnsi="仿宋_GB2312" w:cs="仿宋_GB2312" w:eastAsia="仿宋_GB2312"/>
                      <w:sz w:val="21"/>
                      <w:color w:val="0000FF"/>
                    </w:rPr>
                    <w:t>）高压水路需采用气控阀组的方式控制高压球阀开关，汽车底盘辅助贮气罐取气。</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6</w:t>
                  </w:r>
                  <w:r>
                    <w:rPr>
                      <w:rFonts w:ascii="仿宋_GB2312" w:hAnsi="仿宋_GB2312" w:cs="仿宋_GB2312" w:eastAsia="仿宋_GB2312"/>
                      <w:sz w:val="21"/>
                      <w:color w:val="0000FF"/>
                    </w:rPr>
                    <w:t>）高压水路系统中需设有卸荷阀；</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7</w:t>
                  </w:r>
                  <w:r>
                    <w:rPr>
                      <w:rFonts w:ascii="仿宋_GB2312" w:hAnsi="仿宋_GB2312" w:cs="仿宋_GB2312" w:eastAsia="仿宋_GB2312"/>
                      <w:sz w:val="21"/>
                      <w:color w:val="0000FF"/>
                    </w:rPr>
                    <w:t>）高压水路上需装有压力表。</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8</w:t>
                  </w:r>
                  <w:r>
                    <w:rPr>
                      <w:rFonts w:ascii="仿宋_GB2312" w:hAnsi="仿宋_GB2312" w:cs="仿宋_GB2312" w:eastAsia="仿宋_GB2312"/>
                      <w:sz w:val="21"/>
                      <w:color w:val="0000FF"/>
                    </w:rPr>
                    <w:t>）高压水泵进水口前需设有过滤器。</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9</w:t>
                  </w:r>
                  <w:r>
                    <w:rPr>
                      <w:rFonts w:ascii="仿宋_GB2312" w:hAnsi="仿宋_GB2312" w:cs="仿宋_GB2312" w:eastAsia="仿宋_GB2312"/>
                      <w:sz w:val="21"/>
                      <w:color w:val="0000FF"/>
                    </w:rPr>
                    <w:t>）垃圾箱需采用不锈钢板焊接而成。</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10</w:t>
                  </w:r>
                  <w:r>
                    <w:rPr>
                      <w:rFonts w:ascii="仿宋_GB2312" w:hAnsi="仿宋_GB2312" w:cs="仿宋_GB2312" w:eastAsia="仿宋_GB2312"/>
                      <w:sz w:val="21"/>
                      <w:color w:val="0000FF"/>
                    </w:rPr>
                    <w:t>）清水箱需设置低水位传感器，垃圾箱设置高水位传感器，驾驶室内有语音报警</w:t>
                  </w:r>
                  <w:r>
                    <w:rPr>
                      <w:rFonts w:ascii="仿宋_GB2312" w:hAnsi="仿宋_GB2312" w:cs="仿宋_GB2312" w:eastAsia="仿宋_GB2312"/>
                      <w:sz w:val="21"/>
                      <w:color w:val="0000FF"/>
                      <w:u w:val="single"/>
                    </w:rPr>
                    <w:t>。</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11</w:t>
                  </w:r>
                  <w:r>
                    <w:rPr>
                      <w:rFonts w:ascii="仿宋_GB2312" w:hAnsi="仿宋_GB2312" w:cs="仿宋_GB2312" w:eastAsia="仿宋_GB2312"/>
                      <w:sz w:val="21"/>
                      <w:color w:val="0000FF"/>
                    </w:rPr>
                    <w:t>）垃圾箱内部需设有滤网</w:t>
                  </w:r>
                  <w:r>
                    <w:rPr>
                      <w:rFonts w:ascii="仿宋_GB2312" w:hAnsi="仿宋_GB2312" w:cs="仿宋_GB2312" w:eastAsia="仿宋_GB2312"/>
                      <w:sz w:val="21"/>
                      <w:color w:val="0000FF"/>
                      <w:u w:val="single"/>
                    </w:rPr>
                    <w:t>。</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12</w:t>
                  </w:r>
                  <w:r>
                    <w:rPr>
                      <w:rFonts w:ascii="仿宋_GB2312" w:hAnsi="仿宋_GB2312" w:cs="仿宋_GB2312" w:eastAsia="仿宋_GB2312"/>
                      <w:sz w:val="21"/>
                      <w:color w:val="0000FF"/>
                    </w:rPr>
                    <w:t>）垃圾箱后门卸料口下侧需设有导水槽</w:t>
                  </w:r>
                  <w:r>
                    <w:rPr>
                      <w:rFonts w:ascii="仿宋_GB2312" w:hAnsi="仿宋_GB2312" w:cs="仿宋_GB2312" w:eastAsia="仿宋_GB2312"/>
                      <w:sz w:val="21"/>
                      <w:color w:val="0000FF"/>
                      <w:u w:val="single"/>
                    </w:rPr>
                    <w:t>。</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13</w:t>
                  </w:r>
                  <w:r>
                    <w:rPr>
                      <w:rFonts w:ascii="仿宋_GB2312" w:hAnsi="仿宋_GB2312" w:cs="仿宋_GB2312" w:eastAsia="仿宋_GB2312"/>
                      <w:sz w:val="21"/>
                      <w:color w:val="0000FF"/>
                    </w:rPr>
                    <w:t>）垃圾箱后门需设有圆形观察孔和放水阀</w:t>
                  </w:r>
                  <w:r>
                    <w:rPr>
                      <w:rFonts w:ascii="仿宋_GB2312" w:hAnsi="仿宋_GB2312" w:cs="仿宋_GB2312" w:eastAsia="仿宋_GB2312"/>
                      <w:sz w:val="21"/>
                      <w:color w:val="0000FF"/>
                      <w:u w:val="single"/>
                    </w:rPr>
                    <w:t>。</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14</w:t>
                  </w:r>
                  <w:r>
                    <w:rPr>
                      <w:rFonts w:ascii="仿宋_GB2312" w:hAnsi="仿宋_GB2312" w:cs="仿宋_GB2312" w:eastAsia="仿宋_GB2312"/>
                      <w:sz w:val="21"/>
                      <w:color w:val="0000FF"/>
                    </w:rPr>
                    <w:t>）垃圾箱内需设有高压自洁装置</w:t>
                  </w:r>
                  <w:r>
                    <w:rPr>
                      <w:rFonts w:ascii="仿宋_GB2312" w:hAnsi="仿宋_GB2312" w:cs="仿宋_GB2312" w:eastAsia="仿宋_GB2312"/>
                      <w:sz w:val="21"/>
                      <w:color w:val="0000FF"/>
                      <w:u w:val="single"/>
                    </w:rPr>
                    <w:t>。</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15</w:t>
                  </w:r>
                  <w:r>
                    <w:rPr>
                      <w:rFonts w:ascii="仿宋_GB2312" w:hAnsi="仿宋_GB2312" w:cs="仿宋_GB2312" w:eastAsia="仿宋_GB2312"/>
                      <w:sz w:val="21"/>
                      <w:color w:val="0000FF"/>
                    </w:rPr>
                    <w:t>）驾驶室内需配有显示屏，用于车辆的各种洗扫作业、状态监控、信息查询。</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16</w:t>
                  </w:r>
                  <w:r>
                    <w:rPr>
                      <w:rFonts w:ascii="仿宋_GB2312" w:hAnsi="仿宋_GB2312" w:cs="仿宋_GB2312" w:eastAsia="仿宋_GB2312"/>
                      <w:sz w:val="21"/>
                      <w:color w:val="0000FF"/>
                    </w:rPr>
                    <w:t>）车辆的右后侧需设有操作面板，用于垃圾箱的卸料、调试维修。</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17</w:t>
                  </w:r>
                  <w:r>
                    <w:rPr>
                      <w:rFonts w:ascii="仿宋_GB2312" w:hAnsi="仿宋_GB2312" w:cs="仿宋_GB2312" w:eastAsia="仿宋_GB2312"/>
                      <w:sz w:val="21"/>
                      <w:color w:val="0000FF"/>
                    </w:rPr>
                    <w:t>）驾驶室内装有彩色显示屏，车辆的右边、后部需装有摄像头，作业时可以在驾驶室内检查监视清洁效果。</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18</w:t>
                  </w:r>
                  <w:r>
                    <w:rPr>
                      <w:rFonts w:ascii="仿宋_GB2312" w:hAnsi="仿宋_GB2312" w:cs="仿宋_GB2312" w:eastAsia="仿宋_GB2312"/>
                      <w:sz w:val="21"/>
                      <w:color w:val="0000FF"/>
                    </w:rPr>
                    <w:t>）操作系统需设置全扫、左扫、右扫，全洗扫、左洗扫、右洗扫、全洗、左洗、右洗、纯吸共</w:t>
                  </w:r>
                  <w:r>
                    <w:rPr>
                      <w:rFonts w:ascii="仿宋_GB2312" w:hAnsi="仿宋_GB2312" w:cs="仿宋_GB2312" w:eastAsia="仿宋_GB2312"/>
                      <w:sz w:val="21"/>
                      <w:color w:val="0000FF"/>
                    </w:rPr>
                    <w:t>10种或更多作业模式。作业模式选定后，可实现一键起动或一键停机。</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19</w:t>
                  </w:r>
                  <w:r>
                    <w:rPr>
                      <w:rFonts w:ascii="仿宋_GB2312" w:hAnsi="仿宋_GB2312" w:cs="仿宋_GB2312" w:eastAsia="仿宋_GB2312"/>
                      <w:sz w:val="21"/>
                      <w:color w:val="0000FF"/>
                    </w:rPr>
                    <w:t>）需配备语音报警系统，能在作业和卸车时发出多种语音报警和提示信息。</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20</w:t>
                  </w:r>
                  <w:r>
                    <w:rPr>
                      <w:rFonts w:ascii="仿宋_GB2312" w:hAnsi="仿宋_GB2312" w:cs="仿宋_GB2312" w:eastAsia="仿宋_GB2312"/>
                      <w:sz w:val="21"/>
                      <w:color w:val="0000FF"/>
                    </w:rPr>
                    <w:t>）车辆需配有高压手持喷枪</w:t>
                  </w:r>
                  <w:r>
                    <w:rPr>
                      <w:rFonts w:ascii="仿宋_GB2312" w:hAnsi="仿宋_GB2312" w:cs="仿宋_GB2312" w:eastAsia="仿宋_GB2312"/>
                      <w:sz w:val="21"/>
                      <w:color w:val="0000FF"/>
                    </w:rPr>
                    <w:t>+卷管盘。</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21</w:t>
                  </w:r>
                  <w:r>
                    <w:rPr>
                      <w:rFonts w:ascii="仿宋_GB2312" w:hAnsi="仿宋_GB2312" w:cs="仿宋_GB2312" w:eastAsia="仿宋_GB2312"/>
                      <w:sz w:val="21"/>
                      <w:color w:val="0000FF"/>
                    </w:rPr>
                    <w:t>）需配有自动吹水装置。</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4</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5吨装载机</w:t>
                  </w: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性能要求</w:t>
                  </w:r>
                  <w:r>
                    <w:rPr>
                      <w:rFonts w:ascii="仿宋_GB2312" w:hAnsi="仿宋_GB2312" w:cs="仿宋_GB2312" w:eastAsia="仿宋_GB2312"/>
                      <w:sz w:val="21"/>
                      <w:color w:val="0000FF"/>
                    </w:rPr>
                    <w:t>：</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w:t>
                  </w:r>
                  <w:r>
                    <w:rPr>
                      <w:rFonts w:ascii="仿宋_GB2312" w:hAnsi="仿宋_GB2312" w:cs="仿宋_GB2312" w:eastAsia="仿宋_GB2312"/>
                      <w:sz w:val="21"/>
                      <w:color w:val="0000FF"/>
                    </w:rPr>
                    <w:t>）前后车架、动臂和摇臂全新升级，强度高、承载力大，抗扭力和耐用性大幅增强。大跨距、长轴距对中布置结构，承载能力更强，整机稳定性更好，使用寿命更长。</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w:t>
                  </w:r>
                  <w:r>
                    <w:rPr>
                      <w:rFonts w:ascii="仿宋_GB2312" w:hAnsi="仿宋_GB2312" w:cs="仿宋_GB2312" w:eastAsia="仿宋_GB2312"/>
                      <w:sz w:val="21"/>
                      <w:color w:val="0000FF"/>
                    </w:rPr>
                    <w:t>）采用</w:t>
                  </w:r>
                  <w:r>
                    <w:rPr>
                      <w:rFonts w:ascii="仿宋_GB2312" w:hAnsi="仿宋_GB2312" w:cs="仿宋_GB2312" w:eastAsia="仿宋_GB2312"/>
                      <w:sz w:val="21"/>
                      <w:color w:val="0000FF"/>
                    </w:rPr>
                    <w:t>3230mm黄金轴距，不仅适合各种中、重载工况，而且具有卓越的场地适应能力。</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3</w:t>
                  </w:r>
                  <w:r>
                    <w:rPr>
                      <w:rFonts w:ascii="仿宋_GB2312" w:hAnsi="仿宋_GB2312" w:cs="仿宋_GB2312" w:eastAsia="仿宋_GB2312"/>
                      <w:sz w:val="21"/>
                      <w:color w:val="0000FF"/>
                    </w:rPr>
                    <w:t>）结构件均采用有限元分析和机器人焊接技术，抗扭系数高，焊缝牢靠。</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4</w:t>
                  </w:r>
                  <w:r>
                    <w:rPr>
                      <w:rFonts w:ascii="仿宋_GB2312" w:hAnsi="仿宋_GB2312" w:cs="仿宋_GB2312" w:eastAsia="仿宋_GB2312"/>
                      <w:sz w:val="21"/>
                      <w:color w:val="0000FF"/>
                    </w:rPr>
                    <w:t>）加强型变速箱，承载能力更大，可靠性进一步提高。</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5</w:t>
                  </w:r>
                  <w:r>
                    <w:rPr>
                      <w:rFonts w:ascii="仿宋_GB2312" w:hAnsi="仿宋_GB2312" w:cs="仿宋_GB2312" w:eastAsia="仿宋_GB2312"/>
                      <w:sz w:val="21"/>
                      <w:color w:val="0000FF"/>
                    </w:rPr>
                    <w:t>）与动力强劲的发动机进行科学匹配，维护保养成本低。</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6</w:t>
                  </w:r>
                  <w:r>
                    <w:rPr>
                      <w:rFonts w:ascii="仿宋_GB2312" w:hAnsi="仿宋_GB2312" w:cs="仿宋_GB2312" w:eastAsia="仿宋_GB2312"/>
                      <w:sz w:val="21"/>
                      <w:color w:val="0000FF"/>
                    </w:rPr>
                    <w:t>）加强型重载型驱动桥，关键零部件优化设计，强度更高，承载性能更强，使用寿命更长。</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7</w:t>
                  </w:r>
                  <w:r>
                    <w:rPr>
                      <w:rFonts w:ascii="仿宋_GB2312" w:hAnsi="仿宋_GB2312" w:cs="仿宋_GB2312" w:eastAsia="仿宋_GB2312"/>
                      <w:sz w:val="21"/>
                      <w:color w:val="0000FF"/>
                    </w:rPr>
                    <w:t>）配置国</w:t>
                  </w:r>
                  <w:r>
                    <w:rPr>
                      <w:rFonts w:ascii="仿宋_GB2312" w:hAnsi="仿宋_GB2312" w:cs="仿宋_GB2312" w:eastAsia="仿宋_GB2312"/>
                      <w:sz w:val="21"/>
                      <w:color w:val="0000FF"/>
                    </w:rPr>
                    <w:t>Ⅳ发动机，满足四阶段排放要求，动力高效、能耗低。</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8</w:t>
                  </w:r>
                  <w:r>
                    <w:rPr>
                      <w:rFonts w:ascii="仿宋_GB2312" w:hAnsi="仿宋_GB2312" w:cs="仿宋_GB2312" w:eastAsia="仿宋_GB2312"/>
                      <w:sz w:val="21"/>
                      <w:color w:val="0000FF"/>
                    </w:rPr>
                    <w:t>）全液压负荷传感转向系统及双泵合流工作液压系统的应用，举臂更快、起力更大、转向更轻，而且更节能。</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9</w:t>
                  </w:r>
                  <w:r>
                    <w:rPr>
                      <w:rFonts w:ascii="仿宋_GB2312" w:hAnsi="仿宋_GB2312" w:cs="仿宋_GB2312" w:eastAsia="仿宋_GB2312"/>
                      <w:sz w:val="21"/>
                      <w:color w:val="0000FF"/>
                    </w:rPr>
                    <w:t>）科学设计的自动放平技术可以有效简化操作，降低驾驶员的劳动强度，提高工作效率。</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10</w:t>
                  </w:r>
                  <w:r>
                    <w:rPr>
                      <w:rFonts w:ascii="仿宋_GB2312" w:hAnsi="仿宋_GB2312" w:cs="仿宋_GB2312" w:eastAsia="仿宋_GB2312"/>
                      <w:sz w:val="21"/>
                      <w:color w:val="0000FF"/>
                    </w:rPr>
                    <w:t>）配备多功率省油开关，三级功率模式，满足不同工况，节油高效</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11</w:t>
                  </w:r>
                  <w:r>
                    <w:rPr>
                      <w:rFonts w:ascii="仿宋_GB2312" w:hAnsi="仿宋_GB2312" w:cs="仿宋_GB2312" w:eastAsia="仿宋_GB2312"/>
                      <w:sz w:val="21"/>
                      <w:color w:val="0000FF"/>
                    </w:rPr>
                    <w:t>）美观大方的新型外观，高档驾驶室，宽敞大空间，作业视野宽广</w:t>
                  </w:r>
                  <w:r>
                    <w:rPr>
                      <w:rFonts w:ascii="仿宋_GB2312" w:hAnsi="仿宋_GB2312" w:cs="仿宋_GB2312" w:eastAsia="仿宋_GB2312"/>
                      <w:sz w:val="21"/>
                      <w:color w:val="0000FF"/>
                    </w:rPr>
                    <w:t>;全新感官座舱设计，驾驶舒适性好。</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12</w:t>
                  </w:r>
                  <w:r>
                    <w:rPr>
                      <w:rFonts w:ascii="仿宋_GB2312" w:hAnsi="仿宋_GB2312" w:cs="仿宋_GB2312" w:eastAsia="仿宋_GB2312"/>
                      <w:sz w:val="21"/>
                      <w:color w:val="0000FF"/>
                    </w:rPr>
                    <w:t>）配备数字化液晶显示多功能仪表，丰富的信息显示更好地掌控工作状态。</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13</w:t>
                  </w:r>
                  <w:r>
                    <w:rPr>
                      <w:rFonts w:ascii="仿宋_GB2312" w:hAnsi="仿宋_GB2312" w:cs="仿宋_GB2312" w:eastAsia="仿宋_GB2312"/>
                      <w:sz w:val="21"/>
                      <w:color w:val="0000FF"/>
                    </w:rPr>
                    <w:t>）配备智能管理系统，用户可通过手机、电脑等设备，实时掌控设备的各项运营数据、状况，进行数据分析。用户可对设备进行科学、高效管理，提高设备使用率。</w:t>
                  </w:r>
                </w:p>
                <w:p>
                  <w:pPr>
                    <w:pStyle w:val="null3"/>
                    <w:spacing w:after="1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14</w:t>
                  </w:r>
                  <w:r>
                    <w:rPr>
                      <w:rFonts w:ascii="仿宋_GB2312" w:hAnsi="仿宋_GB2312" w:cs="仿宋_GB2312" w:eastAsia="仿宋_GB2312"/>
                      <w:sz w:val="21"/>
                      <w:color w:val="0000FF"/>
                    </w:rPr>
                    <w:t>）一体成型的金属机罩，强度高、易修复</w:t>
                  </w:r>
                  <w:r>
                    <w:rPr>
                      <w:rFonts w:ascii="仿宋_GB2312" w:hAnsi="仿宋_GB2312" w:cs="仿宋_GB2312" w:eastAsia="仿宋_GB2312"/>
                      <w:sz w:val="21"/>
                      <w:color w:val="0000FF"/>
                    </w:rPr>
                    <w:t>;大开度机罩侧门，空间宽敞，维护更便捷。</w:t>
                  </w:r>
                </w:p>
              </w:tc>
            </w:tr>
          </w:tbl>
          <w:p>
            <w:pPr>
              <w:pStyle w:val="null3"/>
            </w:pPr>
            <w:r>
              <w:rPr>
                <w:rFonts w:ascii="仿宋_GB2312" w:hAnsi="仿宋_GB2312" w:cs="仿宋_GB2312" w:eastAsia="仿宋_GB2312"/>
                <w:sz w:val="21"/>
                <w:b/>
                <w:color w:val="0000FF"/>
              </w:rPr>
              <w:t>五</w:t>
            </w:r>
            <w:r>
              <w:rPr>
                <w:rFonts w:ascii="仿宋_GB2312" w:hAnsi="仿宋_GB2312" w:cs="仿宋_GB2312" w:eastAsia="仿宋_GB2312"/>
                <w:sz w:val="21"/>
                <w:b/>
                <w:color w:val="0000FF"/>
              </w:rPr>
              <w:t>、</w:t>
            </w:r>
            <w:r>
              <w:rPr>
                <w:rFonts w:ascii="仿宋_GB2312" w:hAnsi="仿宋_GB2312" w:cs="仿宋_GB2312" w:eastAsia="仿宋_GB2312"/>
                <w:sz w:val="21"/>
                <w:b/>
                <w:color w:val="0000FF"/>
              </w:rPr>
              <w:t>采购标的需满足的商务要求</w:t>
            </w:r>
            <w:r>
              <w:rPr>
                <w:rFonts w:ascii="仿宋_GB2312" w:hAnsi="仿宋_GB2312" w:cs="仿宋_GB2312" w:eastAsia="仿宋_GB2312"/>
                <w:sz w:val="21"/>
                <w:b/>
                <w:color w:val="0000FF"/>
              </w:rPr>
              <w:t>：</w:t>
            </w:r>
          </w:p>
          <w:p>
            <w:pPr>
              <w:pStyle w:val="null3"/>
              <w:ind w:right="90"/>
              <w:jc w:val="left"/>
            </w:pPr>
            <w:r>
              <w:rPr>
                <w:rFonts w:ascii="仿宋_GB2312" w:hAnsi="仿宋_GB2312" w:cs="仿宋_GB2312" w:eastAsia="仿宋_GB2312"/>
                <w:sz w:val="21"/>
                <w:color w:val="0000FF"/>
              </w:rPr>
              <w:t>1.</w:t>
            </w:r>
            <w:r>
              <w:rPr>
                <w:rFonts w:ascii="仿宋_GB2312" w:hAnsi="仿宋_GB2312" w:cs="仿宋_GB2312" w:eastAsia="仿宋_GB2312"/>
                <w:sz w:val="21"/>
                <w:color w:val="0000FF"/>
              </w:rPr>
              <w:t>交货时间</w:t>
            </w:r>
            <w:r>
              <w:rPr>
                <w:rFonts w:ascii="仿宋_GB2312" w:hAnsi="仿宋_GB2312" w:cs="仿宋_GB2312" w:eastAsia="仿宋_GB2312"/>
                <w:sz w:val="21"/>
                <w:color w:val="0000FF"/>
              </w:rPr>
              <w:t>：</w:t>
            </w:r>
            <w:r>
              <w:rPr>
                <w:rFonts w:ascii="仿宋_GB2312" w:hAnsi="仿宋_GB2312" w:cs="仿宋_GB2312" w:eastAsia="仿宋_GB2312"/>
                <w:sz w:val="21"/>
                <w:color w:val="0000FF"/>
              </w:rPr>
              <w:t>合同签订后</w:t>
            </w:r>
            <w:r>
              <w:rPr>
                <w:rFonts w:ascii="仿宋_GB2312" w:hAnsi="仿宋_GB2312" w:cs="仿宋_GB2312" w:eastAsia="仿宋_GB2312"/>
                <w:sz w:val="21"/>
                <w:color w:val="0000FF"/>
              </w:rPr>
              <w:t>15个日历天</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2.付款方式：</w:t>
            </w:r>
          </w:p>
          <w:p>
            <w:pPr>
              <w:pStyle w:val="null3"/>
              <w:jc w:val="left"/>
            </w:pPr>
            <w:r>
              <w:rPr>
                <w:rFonts w:ascii="仿宋_GB2312" w:hAnsi="仿宋_GB2312" w:cs="仿宋_GB2312" w:eastAsia="仿宋_GB2312"/>
                <w:sz w:val="21"/>
                <w:color w:val="0000FF"/>
              </w:rPr>
              <w:t>合同签订后，全部货物按招标文件</w:t>
            </w:r>
            <w:r>
              <w:rPr>
                <w:rFonts w:ascii="仿宋_GB2312" w:hAnsi="仿宋_GB2312" w:cs="仿宋_GB2312" w:eastAsia="仿宋_GB2312"/>
                <w:sz w:val="21"/>
                <w:color w:val="0000FF"/>
              </w:rPr>
              <w:t>交货时间</w:t>
            </w:r>
            <w:r>
              <w:rPr>
                <w:rFonts w:ascii="仿宋_GB2312" w:hAnsi="仿宋_GB2312" w:cs="仿宋_GB2312" w:eastAsia="仿宋_GB2312"/>
                <w:sz w:val="21"/>
                <w:color w:val="0000FF"/>
              </w:rPr>
              <w:t>约定交付使用。预付款为合同价款</w:t>
            </w:r>
            <w:r>
              <w:rPr>
                <w:rFonts w:ascii="仿宋_GB2312" w:hAnsi="仿宋_GB2312" w:cs="仿宋_GB2312" w:eastAsia="仿宋_GB2312"/>
                <w:sz w:val="21"/>
                <w:color w:val="0000FF"/>
              </w:rPr>
              <w:t>30%，货到现场甲方签收付合同价款40%，验收合格付合同价款30%</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3.质保期：</w:t>
            </w:r>
            <w:r>
              <w:rPr>
                <w:rFonts w:ascii="仿宋_GB2312" w:hAnsi="仿宋_GB2312" w:cs="仿宋_GB2312" w:eastAsia="仿宋_GB2312"/>
                <w:sz w:val="21"/>
                <w:color w:val="0000FF"/>
              </w:rPr>
              <w:t>整车质保两年，三电系统质保</w:t>
            </w:r>
            <w:r>
              <w:rPr>
                <w:rFonts w:ascii="仿宋_GB2312" w:hAnsi="仿宋_GB2312" w:cs="仿宋_GB2312" w:eastAsia="仿宋_GB2312"/>
                <w:sz w:val="21"/>
                <w:color w:val="0000FF"/>
              </w:rPr>
              <w:t>8年或40万公里</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4.质量标准：符合国家及行业质量验收合格标准</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5.交货地点：</w:t>
            </w:r>
            <w:r>
              <w:rPr>
                <w:rFonts w:ascii="仿宋_GB2312" w:hAnsi="仿宋_GB2312" w:cs="仿宋_GB2312" w:eastAsia="仿宋_GB2312"/>
                <w:sz w:val="21"/>
                <w:color w:val="0000FF"/>
              </w:rPr>
              <w:t>勉县园林环卫服务中心</w:t>
            </w:r>
            <w:r>
              <w:rPr>
                <w:rFonts w:ascii="仿宋_GB2312" w:hAnsi="仿宋_GB2312" w:cs="仿宋_GB2312" w:eastAsia="仿宋_GB2312"/>
                <w:sz w:val="21"/>
                <w:color w:val="0000FF"/>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勉县园林环卫服务中心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货到现场甲方签收后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1、甲方须在乙方提出书面验收申请之日起 10日内，组织验收工作。验收由甲方指定单位及人员进行验收，验收合格后出具书面验收合格证明，作为对产品的最终认可。 2、验收依据：单证齐全，应有产品合格证、质量证明、使用说明、保修保质证明、发票和其他应当具有的单证，并符合国家法律、法规对该产品规定的国家标准的要求。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整车质保两年，三电系统质保8年或40万公里。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拟供车辆资料</w:t>
            </w:r>
          </w:p>
        </w:tc>
        <w:tc>
          <w:tcPr>
            <w:tcW w:type="dxa" w:w="3322"/>
          </w:tcPr>
          <w:p>
            <w:pPr>
              <w:pStyle w:val="null3"/>
            </w:pPr>
            <w:r>
              <w:rPr>
                <w:rFonts w:ascii="仿宋_GB2312" w:hAnsi="仿宋_GB2312" w:cs="仿宋_GB2312" w:eastAsia="仿宋_GB2312"/>
              </w:rPr>
              <w:t>供应商拟供车型必须在国家工业和信息化部发布的《车辆生产企业及产品》公告内；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 网站（www.creditchi na.gov.cn）中列入重大税收违法失信主体的供应商；不得为“中国执行信息公开网”（http://z xgk.court.gov.cn）中列入失信被执行人名单的供应商；不得为“中国政府采购网”（www.cc gp.gov.cn）政府采购严重违法失信行为记录名 单中被财政部门禁止参加政府采购活动的供应商； （注：以投标文件中提供的承诺书为准）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法定代表人（负责人）身份证明及法定代表人（负责人）授权委托书.docx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主要条款响应</w:t>
            </w:r>
          </w:p>
        </w:tc>
        <w:tc>
          <w:tcPr>
            <w:tcW w:type="dxa" w:w="3322"/>
          </w:tcPr>
          <w:p>
            <w:pPr>
              <w:pStyle w:val="null3"/>
            </w:pPr>
            <w:r>
              <w:rPr>
                <w:rFonts w:ascii="仿宋_GB2312" w:hAnsi="仿宋_GB2312" w:cs="仿宋_GB2312" w:eastAsia="仿宋_GB2312"/>
              </w:rPr>
              <w:t>对“交货期、交货地点、质保期、付款方式”等实质性内容进行响应且未附加采购人难以接受的条件</w:t>
            </w:r>
          </w:p>
        </w:tc>
        <w:tc>
          <w:tcPr>
            <w:tcW w:type="dxa" w:w="1661"/>
          </w:tcPr>
          <w:p>
            <w:pPr>
              <w:pStyle w:val="null3"/>
            </w:pPr>
            <w:r>
              <w:rPr>
                <w:rFonts w:ascii="仿宋_GB2312" w:hAnsi="仿宋_GB2312" w:cs="仿宋_GB2312" w:eastAsia="仿宋_GB2312"/>
              </w:rPr>
              <w:t>商务应答表.docx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招标文件“第三章 招标项目技术、服务、商务及其他要求”“3.3技术要求”中“三、采购标的需满足的技术要求”共79项技术参数及要求，其中“▲”项为重要技术参数及要求，其他的为一般技术参数及要求。（1）“▲”项技术参数及要求共3项，供应商拟供产品技术参数及要求每有一项完全满足得，得3分，共9分；（2）一般技术参数及要求共76项，供应商拟供产品技术参数及要求每有一项完全满足得，得0.5分，共38分，备注：供应商须提供拟供产品相关技术参数证明材料，包括但不限于产品介绍或说明书或检测报告等，供应商自行承担因未提供拟供产品技术参数证明材料导致技术参数被视为负偏离的风险。</w:t>
            </w:r>
          </w:p>
        </w:tc>
        <w:tc>
          <w:tcPr>
            <w:tcW w:type="dxa" w:w="831"/>
          </w:tcPr>
          <w:p>
            <w:pPr>
              <w:pStyle w:val="null3"/>
              <w:jc w:val="right"/>
            </w:pPr>
            <w:r>
              <w:rPr>
                <w:rFonts w:ascii="仿宋_GB2312" w:hAnsi="仿宋_GB2312" w:cs="仿宋_GB2312" w:eastAsia="仿宋_GB2312"/>
              </w:rPr>
              <w:t>47.0000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根据招标文件要求和技术响应情况，对供应商提供的设备质量保障措施进行评审： 包括：设备性能稳定性、安全性、功能性、使用效果、质量保障承诺书（须明确产品出现质量问题后的处置及处罚措施），对以上内容详尽阐述； （1）设备性能稳定，功能性完整，安全性及使用性充足，质量保障措施详细具体全面且可行性充足、质量保障承诺明确有力的，得4分； （2）设备性能基本稳定，具有安全性及使用性，质量保障措施明确，有一定可行性、质量保障承诺明确的，得3分； （3）设备性能基本稳定，安全性及使用性不可靠，质量保障措施含糊但具有一定可行性、质量保障承诺含糊的，得2分； （4）设备性能不稳定，功能性不足，安全性及使用性不足，质量保障措施含糊且不具备可行性、质量保障承诺含糊且内容空洞的，得1分；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根据用户需求，对项目实施方案（包括但不限于：供货方案、安全保证方案及应急措施方案等）进行评审。 （1）方案详细具体合理可行，针对性充足，得4分。 （2）方案明确、具有一定合理性及针对性，得3分。 （3）方案明确，但有明显缺陷，合理性及针对性不足，得2分； （4）方案含糊且有明显缺陷，合理性及针对性不足，得1分；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招标文件要求和技术响应情况，对供应商提供的人员配备（包括专职对接人员、售后服务人员等）方案进行评价：（1）针对本项目拟配备服务团队人员架构齐全、数量充足、专业经验丰富，配备方案合理高效，逻辑结构清晰且具有针对性的，得4分；（2）针对本项目拟配备服务团队人员架构基本齐全、数量基本充足、专业经验丰富，配备方案明确且具有一定合理性，逻辑结构基本清晰且具有一定针对性的，得3分； （3）针对本项目拟配备服务团队人员架构基本齐全但数量不充足、部分人员有一定专业经验，配备方案明确但合理性不足，具有逻辑结构且具有一定针对性的，得2分； （4）针对本项目拟配备服务团队人员架构含糊、数量不足、人员专业经验不足，配备方案含糊，逻辑结构不清晰且针对性不足的，得1分；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1、售后技术支持：对供应商提供的售后服务方案（包括售后流程，响应时间，备品、配件保障措施，售后巡查及维护安排，售后服务监督与奖惩，售后服务管理，客诉渠道、承诺及保障措施）进行评审。 （1）售后服务方案内容完善、合理、科学、针对性充足,售后响应及处理及时，售后保障措施详细具体、全面、有效得3分； （2）售后服务方案内容明确且具有一定合理性及针对性,售后响应及处理时间相对及时，售后保障措施明确且基本有效得2分； （3）售后服务方案内容含糊，售后响应和处理周期不及时，售后保障措施含糊且无法保障项目实施，得1分； 未提供，不得分； 2、培训方案： （1）培训方案阐述详细具体、合理可行，培训方式多样化，培训内容具有针对性，符合项目实施需求得3分； （2）培训方案阐述明确、具有一定合理性及可行性，培训方式多样化，培训内容具有一定针对性，基本符合项目实施需求，得2分； （3）培训方案阐述含糊且合理性及可行性不足，培训方式单一，培训内容针对性不足，无法满足项目实施需求，得1分；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供应商自2022年1月1日至投标截止时间所具有类似项目业绩，每提供1份计2分，满分4分。 注：以供应商投标文件中所附加盖公章的项目合同复印件为准，业绩时间以合同显示时间为准，否则不得分。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类似项目情况表.docx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供应商所投产品具有国家节能产品认证且证书在有效期内，或具有中国环境标志产品认证证书且在有效期内，或具有国家强制采购节能产品认证证书且在有效期内的投标供应商，得1分。 注：需提供相关认证证书或在证明材料复印件并加盖供应商公章，未提供不得分。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 一按照下列公式计算：投标报价得分=（评标基准价/投标报价） ×分值； 注：1、享受价格扣除的：供应商参评价格=投标报价*（1-价格扣除） 2、不享受价格扣除的：供应商参评价格=投标报价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详见附件：法定代表人（负责人）身份证明及法定代表人（负责人）授权委托书.docx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详见附件：类似项目情况表.docx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