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76631">
      <w:pPr>
        <w:pStyle w:val="3"/>
        <w:spacing w:before="0" w:after="0" w:line="240" w:lineRule="auto"/>
        <w:jc w:val="center"/>
        <w:rPr>
          <w:rFonts w:hint="eastAsia" w:ascii="宋体" w:hAnsi="宋体" w:eastAsia="宋体" w:cs="宋体"/>
          <w:color w:val="auto"/>
          <w:sz w:val="32"/>
          <w:szCs w:val="32"/>
          <w:highlight w:val="none"/>
        </w:rPr>
      </w:pPr>
      <w:bookmarkStart w:id="1" w:name="_GoBack"/>
      <w:r>
        <w:rPr>
          <w:rFonts w:hint="eastAsia" w:ascii="宋体" w:hAnsi="宋体" w:eastAsia="宋体" w:cs="宋体"/>
          <w:color w:val="auto"/>
          <w:sz w:val="32"/>
          <w:szCs w:val="32"/>
          <w:highlight w:val="none"/>
        </w:rPr>
        <w:t>合同条款及格式</w:t>
      </w:r>
      <w:bookmarkEnd w:id="1"/>
    </w:p>
    <w:p w14:paraId="062833CE">
      <w:pPr>
        <w:spacing w:line="440" w:lineRule="exact"/>
        <w:ind w:firstLine="419"/>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（本合同为合同样稿，最终稿由双方协商后确定）</w:t>
      </w:r>
    </w:p>
    <w:p w14:paraId="2019536D">
      <w:pPr>
        <w:rPr>
          <w:rFonts w:hint="eastAsia" w:ascii="宋体" w:hAnsi="宋体" w:eastAsia="宋体" w:cs="宋体"/>
          <w:color w:val="auto"/>
          <w:highlight w:val="none"/>
        </w:rPr>
      </w:pPr>
    </w:p>
    <w:p w14:paraId="181CC9B6">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政府采购项目</w:t>
      </w:r>
    </w:p>
    <w:p w14:paraId="53C1379F">
      <w:pPr>
        <w:rPr>
          <w:rFonts w:hint="eastAsia" w:ascii="宋体" w:hAnsi="宋体" w:eastAsia="宋体" w:cs="宋体"/>
          <w:b/>
          <w:color w:val="auto"/>
          <w:sz w:val="32"/>
          <w:szCs w:val="32"/>
          <w:highlight w:val="none"/>
        </w:rPr>
      </w:pPr>
    </w:p>
    <w:p w14:paraId="3731C72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合同编号：</w:t>
      </w:r>
    </w:p>
    <w:p w14:paraId="7493324D">
      <w:pPr>
        <w:ind w:firstLine="964"/>
        <w:jc w:val="center"/>
        <w:rPr>
          <w:rFonts w:hint="eastAsia" w:ascii="宋体" w:hAnsi="宋体" w:eastAsia="宋体" w:cs="宋体"/>
          <w:b/>
          <w:snapToGrid w:val="0"/>
          <w:color w:val="auto"/>
          <w:sz w:val="48"/>
          <w:szCs w:val="48"/>
          <w:highlight w:val="none"/>
        </w:rPr>
      </w:pPr>
    </w:p>
    <w:p w14:paraId="52DEEC07">
      <w:pPr>
        <w:pStyle w:val="12"/>
        <w:rPr>
          <w:rFonts w:hint="eastAsia" w:ascii="宋体" w:hAnsi="宋体" w:eastAsia="宋体" w:cs="宋体"/>
          <w:b/>
          <w:snapToGrid w:val="0"/>
          <w:color w:val="auto"/>
          <w:sz w:val="48"/>
          <w:szCs w:val="48"/>
          <w:highlight w:val="none"/>
        </w:rPr>
      </w:pPr>
    </w:p>
    <w:p w14:paraId="2DA92B34">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lang w:val="en-US" w:eastAsia="zh-CN"/>
        </w:rPr>
        <w:t xml:space="preserve">采 购 </w:t>
      </w:r>
      <w:r>
        <w:rPr>
          <w:rFonts w:hint="eastAsia" w:ascii="宋体" w:hAnsi="宋体" w:eastAsia="宋体" w:cs="宋体"/>
          <w:b/>
          <w:color w:val="auto"/>
          <w:sz w:val="72"/>
          <w:szCs w:val="72"/>
          <w:highlight w:val="none"/>
        </w:rPr>
        <w:t>合 同</w:t>
      </w:r>
    </w:p>
    <w:p w14:paraId="485D9007">
      <w:pPr>
        <w:pStyle w:val="5"/>
        <w:rPr>
          <w:rFonts w:hint="eastAsia" w:ascii="宋体" w:hAnsi="宋体" w:eastAsia="宋体" w:cs="宋体"/>
          <w:color w:val="auto"/>
          <w:sz w:val="30"/>
          <w:szCs w:val="30"/>
          <w:highlight w:val="none"/>
        </w:rPr>
      </w:pPr>
    </w:p>
    <w:p w14:paraId="1E3266BF">
      <w:pPr>
        <w:rPr>
          <w:rFonts w:hint="eastAsia" w:ascii="宋体" w:hAnsi="宋体" w:eastAsia="宋体" w:cs="宋体"/>
          <w:color w:val="auto"/>
          <w:sz w:val="30"/>
          <w:szCs w:val="30"/>
          <w:highlight w:val="none"/>
        </w:rPr>
      </w:pPr>
    </w:p>
    <w:p w14:paraId="71EB1D99">
      <w:pPr>
        <w:pStyle w:val="2"/>
        <w:rPr>
          <w:rFonts w:hint="eastAsia" w:ascii="宋体" w:hAnsi="宋体" w:eastAsia="宋体" w:cs="宋体"/>
          <w:color w:val="auto"/>
          <w:sz w:val="30"/>
          <w:szCs w:val="30"/>
          <w:highlight w:val="none"/>
        </w:rPr>
      </w:pPr>
    </w:p>
    <w:p w14:paraId="0D0D6BE6">
      <w:pPr>
        <w:rPr>
          <w:rFonts w:hint="eastAsia" w:ascii="宋体" w:hAnsi="宋体" w:eastAsia="宋体" w:cs="宋体"/>
          <w:color w:val="auto"/>
          <w:sz w:val="30"/>
          <w:szCs w:val="30"/>
          <w:highlight w:val="none"/>
        </w:rPr>
      </w:pPr>
    </w:p>
    <w:p w14:paraId="5314B512">
      <w:pPr>
        <w:pStyle w:val="2"/>
        <w:rPr>
          <w:rFonts w:hint="eastAsia" w:ascii="宋体" w:hAnsi="宋体" w:eastAsia="宋体" w:cs="宋体"/>
          <w:color w:val="auto"/>
          <w:sz w:val="30"/>
          <w:szCs w:val="30"/>
          <w:highlight w:val="none"/>
        </w:rPr>
      </w:pPr>
    </w:p>
    <w:p w14:paraId="3B941B28">
      <w:pPr>
        <w:rPr>
          <w:rFonts w:hint="eastAsia" w:ascii="宋体" w:hAnsi="宋体" w:eastAsia="宋体" w:cs="宋体"/>
          <w:color w:val="auto"/>
          <w:sz w:val="30"/>
          <w:szCs w:val="30"/>
          <w:highlight w:val="none"/>
        </w:rPr>
      </w:pPr>
    </w:p>
    <w:p w14:paraId="08D64879">
      <w:pPr>
        <w:pStyle w:val="2"/>
        <w:rPr>
          <w:rFonts w:hint="eastAsia" w:ascii="宋体" w:hAnsi="宋体" w:eastAsia="宋体" w:cs="宋体"/>
          <w:color w:val="auto"/>
          <w:sz w:val="30"/>
          <w:szCs w:val="30"/>
          <w:highlight w:val="none"/>
        </w:rPr>
      </w:pPr>
    </w:p>
    <w:p w14:paraId="352B4354">
      <w:pPr>
        <w:rPr>
          <w:rFonts w:hint="eastAsia" w:ascii="宋体" w:hAnsi="宋体" w:eastAsia="宋体" w:cs="宋体"/>
          <w:color w:val="auto"/>
          <w:sz w:val="30"/>
          <w:szCs w:val="30"/>
          <w:highlight w:val="none"/>
        </w:rPr>
      </w:pPr>
    </w:p>
    <w:p w14:paraId="76351727">
      <w:pPr>
        <w:pStyle w:val="2"/>
        <w:rPr>
          <w:rFonts w:hint="eastAsia" w:ascii="宋体" w:hAnsi="宋体" w:eastAsia="宋体" w:cs="宋体"/>
          <w:color w:val="auto"/>
          <w:sz w:val="30"/>
          <w:szCs w:val="30"/>
          <w:highlight w:val="none"/>
        </w:rPr>
      </w:pPr>
    </w:p>
    <w:p w14:paraId="5DC3FC5F">
      <w:pPr>
        <w:rPr>
          <w:rFonts w:hint="eastAsia"/>
        </w:rPr>
      </w:pPr>
    </w:p>
    <w:p w14:paraId="1778FE91">
      <w:pPr>
        <w:pStyle w:val="5"/>
        <w:rPr>
          <w:rFonts w:hint="eastAsia" w:ascii="宋体" w:hAnsi="宋体" w:eastAsia="宋体" w:cs="宋体"/>
          <w:color w:val="auto"/>
          <w:sz w:val="30"/>
          <w:szCs w:val="30"/>
          <w:highlight w:val="none"/>
        </w:rPr>
      </w:pPr>
    </w:p>
    <w:p w14:paraId="2F6834EA">
      <w:pPr>
        <w:pStyle w:val="5"/>
        <w:rPr>
          <w:rFonts w:hint="eastAsia" w:ascii="宋体" w:hAnsi="宋体" w:eastAsia="宋体" w:cs="宋体"/>
          <w:color w:val="auto"/>
          <w:sz w:val="30"/>
          <w:szCs w:val="30"/>
          <w:highlight w:val="none"/>
        </w:rPr>
      </w:pPr>
    </w:p>
    <w:p w14:paraId="1A24A79F">
      <w:pPr>
        <w:ind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甲  方： </w:t>
      </w:r>
    </w:p>
    <w:p w14:paraId="12870D3D">
      <w:pPr>
        <w:tabs>
          <w:tab w:val="left" w:pos="480"/>
        </w:tabs>
        <w:ind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  方：</w:t>
      </w:r>
    </w:p>
    <w:p w14:paraId="4290A5DB">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  月</w:t>
      </w:r>
    </w:p>
    <w:p w14:paraId="70848812">
      <w:pPr>
        <w:bidi w:val="0"/>
        <w:spacing w:line="360" w:lineRule="auto"/>
        <w:rPr>
          <w:rFonts w:hint="eastAsia" w:ascii="宋体" w:hAnsi="宋体" w:eastAsia="宋体" w:cs="宋体"/>
          <w:sz w:val="24"/>
          <w:szCs w:val="24"/>
        </w:rPr>
      </w:pPr>
      <w:bookmarkStart w:id="0" w:name="_Hlk121769220"/>
      <w:r>
        <w:rPr>
          <w:rFonts w:hint="eastAsia" w:ascii="宋体" w:hAnsi="宋体" w:eastAsia="宋体" w:cs="宋体"/>
          <w:b/>
          <w:bCs/>
          <w:color w:val="auto"/>
          <w:highlight w:val="none"/>
        </w:rPr>
        <w:br w:type="page"/>
      </w:r>
      <w:bookmarkEnd w:id="0"/>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sz w:val="24"/>
          <w:szCs w:val="24"/>
        </w:rPr>
        <w:t>1、签订合同应遵守《中华人民共和国政府采购法》、《</w:t>
      </w:r>
      <w:r>
        <w:rPr>
          <w:rFonts w:hint="eastAsia" w:ascii="宋体" w:hAnsi="宋体" w:eastAsia="宋体" w:cs="宋体"/>
          <w:sz w:val="24"/>
          <w:szCs w:val="24"/>
          <w:lang w:val="en-US" w:eastAsia="zh-CN"/>
        </w:rPr>
        <w:t>中华人民共和国</w:t>
      </w:r>
      <w:r>
        <w:rPr>
          <w:rFonts w:hint="eastAsia" w:ascii="宋体" w:hAnsi="宋体" w:eastAsia="宋体" w:cs="宋体"/>
          <w:sz w:val="24"/>
          <w:szCs w:val="24"/>
        </w:rPr>
        <w:t>民法典》。</w:t>
      </w:r>
    </w:p>
    <w:p w14:paraId="490A7C22">
      <w:p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2、签订合同时，</w:t>
      </w:r>
      <w:r>
        <w:rPr>
          <w:rFonts w:hint="eastAsia" w:ascii="宋体" w:hAnsi="宋体" w:eastAsia="宋体" w:cs="宋体"/>
          <w:sz w:val="24"/>
          <w:szCs w:val="24"/>
          <w:lang w:eastAsia="zh-CN"/>
        </w:rPr>
        <w:t>采购人</w:t>
      </w:r>
      <w:r>
        <w:rPr>
          <w:rFonts w:hint="eastAsia" w:ascii="宋体" w:hAnsi="宋体" w:eastAsia="宋体" w:cs="宋体"/>
          <w:sz w:val="24"/>
          <w:szCs w:val="24"/>
        </w:rPr>
        <w:t>与中标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应结合招标文件规定填列相应内容。招标文件已有规定的，双方均不得变更或调整；招标文件未作规定的，双方可通过友好协商进行约定。</w:t>
      </w:r>
    </w:p>
    <w:p w14:paraId="1240746F">
      <w:p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3、本合同仅为参考，经</w:t>
      </w:r>
      <w:r>
        <w:rPr>
          <w:rFonts w:hint="eastAsia" w:ascii="宋体" w:hAnsi="宋体" w:eastAsia="宋体" w:cs="宋体"/>
          <w:sz w:val="24"/>
          <w:szCs w:val="24"/>
          <w:lang w:eastAsia="zh-CN"/>
        </w:rPr>
        <w:t>采购人</w:t>
      </w:r>
      <w:r>
        <w:rPr>
          <w:rFonts w:hint="eastAsia" w:ascii="宋体" w:hAnsi="宋体" w:eastAsia="宋体" w:cs="宋体"/>
          <w:sz w:val="24"/>
          <w:szCs w:val="24"/>
        </w:rPr>
        <w:t>与中标人协商一致确定合同文本。</w:t>
      </w:r>
    </w:p>
    <w:p w14:paraId="3188E63F">
      <w:pPr>
        <w:pStyle w:val="7"/>
        <w:keepNext w:val="0"/>
        <w:keepLines w:val="0"/>
        <w:pageBreakBefore w:val="0"/>
        <w:widowControl/>
        <w:shd w:val="clear" w:color="auto" w:fill="auto"/>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rPr>
        <w:t>全称）</w:t>
      </w:r>
    </w:p>
    <w:p w14:paraId="71B2FB3A">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（中标</w:t>
      </w:r>
      <w:r>
        <w:rPr>
          <w:rFonts w:hint="eastAsia"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全称）</w:t>
      </w:r>
    </w:p>
    <w:p w14:paraId="11768250">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根据招标编号为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（填写“项目名称”）</w:t>
      </w:r>
      <w:r>
        <w:rPr>
          <w:rFonts w:hint="eastAsia" w:ascii="宋体" w:hAnsi="宋体" w:eastAsia="宋体" w:cs="宋体"/>
          <w:color w:val="auto"/>
          <w:sz w:val="24"/>
          <w:szCs w:val="24"/>
          <w:highlight w:val="none"/>
        </w:rPr>
        <w:t>项目（以下简称：“本项目”）的招标结果，乙方为中标</w:t>
      </w:r>
      <w:r>
        <w:rPr>
          <w:rFonts w:hint="eastAsia"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。现经甲乙双方友好协商，就以下事项达成一致并签订本合同：</w:t>
      </w:r>
    </w:p>
    <w:p w14:paraId="07D515FC">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1、下列合同文件是构成本合同不可分割的部分：</w:t>
      </w:r>
    </w:p>
    <w:p w14:paraId="3818FEC2">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1.1合同条款；</w:t>
      </w:r>
    </w:p>
    <w:p w14:paraId="42CE8D1E">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1.2招标文件、乙方的投标文件；</w:t>
      </w:r>
    </w:p>
    <w:p w14:paraId="33699736">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1.3其他文件或材料：□无。□</w:t>
      </w:r>
      <w:r>
        <w:rPr>
          <w:rFonts w:hint="eastAsia" w:ascii="宋体" w:hAnsi="宋体" w:eastAsia="宋体" w:cs="宋体"/>
          <w:color w:val="auto"/>
          <w:sz w:val="24"/>
          <w:szCs w:val="24"/>
          <w:highlight w:val="none"/>
          <w:u w:val="single"/>
        </w:rPr>
        <w:t>（按照实际情况编制填写需要增加的内容）</w:t>
      </w:r>
      <w:r>
        <w:rPr>
          <w:rFonts w:hint="eastAsia" w:ascii="宋体" w:hAnsi="宋体" w:eastAsia="宋体" w:cs="宋体"/>
          <w:color w:val="auto"/>
          <w:sz w:val="24"/>
          <w:szCs w:val="24"/>
          <w:highlight w:val="none"/>
        </w:rPr>
        <w:t>。</w:t>
      </w:r>
    </w:p>
    <w:p w14:paraId="64D2ADD6">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2、合同标的</w:t>
      </w:r>
    </w:p>
    <w:tbl>
      <w:tblPr>
        <w:tblStyle w:val="8"/>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1241"/>
        <w:gridCol w:w="1142"/>
        <w:gridCol w:w="1805"/>
        <w:gridCol w:w="1164"/>
        <w:gridCol w:w="690"/>
        <w:gridCol w:w="1050"/>
        <w:gridCol w:w="810"/>
        <w:gridCol w:w="898"/>
      </w:tblGrid>
      <w:tr w14:paraId="5381B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57" w:type="dxa"/>
            <w:noWrap w:val="0"/>
            <w:vAlign w:val="center"/>
          </w:tcPr>
          <w:p w14:paraId="78D1B399">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241" w:type="dxa"/>
            <w:noWrap w:val="0"/>
            <w:vAlign w:val="center"/>
          </w:tcPr>
          <w:p w14:paraId="71FB3F85">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142" w:type="dxa"/>
            <w:noWrap w:val="0"/>
            <w:vAlign w:val="center"/>
          </w:tcPr>
          <w:p w14:paraId="04ACF4A7">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w:t>
            </w:r>
          </w:p>
        </w:tc>
        <w:tc>
          <w:tcPr>
            <w:tcW w:w="1805" w:type="dxa"/>
            <w:noWrap w:val="0"/>
            <w:vAlign w:val="center"/>
          </w:tcPr>
          <w:p w14:paraId="039F13B4">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规格型号</w:t>
            </w:r>
          </w:p>
        </w:tc>
        <w:tc>
          <w:tcPr>
            <w:tcW w:w="1164" w:type="dxa"/>
            <w:noWrap w:val="0"/>
            <w:vAlign w:val="center"/>
          </w:tcPr>
          <w:p w14:paraId="2BEE7FDE">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生产厂商</w:t>
            </w:r>
          </w:p>
        </w:tc>
        <w:tc>
          <w:tcPr>
            <w:tcW w:w="690" w:type="dxa"/>
            <w:noWrap w:val="0"/>
            <w:vAlign w:val="center"/>
          </w:tcPr>
          <w:p w14:paraId="44E96E22">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暂定</w:t>
            </w:r>
            <w:r>
              <w:rPr>
                <w:rFonts w:hint="eastAsia" w:ascii="宋体" w:hAnsi="宋体" w:eastAsia="宋体" w:cs="宋体"/>
                <w:color w:val="auto"/>
                <w:sz w:val="21"/>
                <w:szCs w:val="21"/>
              </w:rPr>
              <w:t>数量</w:t>
            </w:r>
          </w:p>
        </w:tc>
        <w:tc>
          <w:tcPr>
            <w:tcW w:w="1050" w:type="dxa"/>
            <w:noWrap w:val="0"/>
            <w:vAlign w:val="center"/>
          </w:tcPr>
          <w:p w14:paraId="3C545AAE">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810" w:type="dxa"/>
            <w:noWrap w:val="0"/>
            <w:vAlign w:val="center"/>
          </w:tcPr>
          <w:p w14:paraId="50B09522">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总价（元）</w:t>
            </w:r>
          </w:p>
        </w:tc>
        <w:tc>
          <w:tcPr>
            <w:tcW w:w="898" w:type="dxa"/>
            <w:noWrap w:val="0"/>
            <w:vAlign w:val="center"/>
          </w:tcPr>
          <w:p w14:paraId="35E84E8A">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7B5E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57" w:type="dxa"/>
            <w:noWrap w:val="0"/>
            <w:vAlign w:val="center"/>
          </w:tcPr>
          <w:p w14:paraId="1EDB6326">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241" w:type="dxa"/>
            <w:noWrap w:val="0"/>
            <w:vAlign w:val="top"/>
          </w:tcPr>
          <w:p w14:paraId="03552D99">
            <w:pPr>
              <w:jc w:val="center"/>
              <w:rPr>
                <w:rFonts w:hint="eastAsia" w:ascii="宋体" w:hAnsi="宋体" w:eastAsia="宋体" w:cs="宋体"/>
                <w:color w:val="auto"/>
                <w:sz w:val="21"/>
                <w:szCs w:val="21"/>
              </w:rPr>
            </w:pPr>
          </w:p>
        </w:tc>
        <w:tc>
          <w:tcPr>
            <w:tcW w:w="1142" w:type="dxa"/>
            <w:noWrap w:val="0"/>
            <w:vAlign w:val="top"/>
          </w:tcPr>
          <w:p w14:paraId="464AB1D3">
            <w:pPr>
              <w:jc w:val="center"/>
              <w:rPr>
                <w:rFonts w:hint="eastAsia" w:ascii="宋体" w:hAnsi="宋体" w:eastAsia="宋体" w:cs="宋体"/>
                <w:color w:val="auto"/>
                <w:sz w:val="21"/>
                <w:szCs w:val="21"/>
              </w:rPr>
            </w:pPr>
          </w:p>
        </w:tc>
        <w:tc>
          <w:tcPr>
            <w:tcW w:w="1805" w:type="dxa"/>
            <w:noWrap w:val="0"/>
            <w:vAlign w:val="top"/>
          </w:tcPr>
          <w:p w14:paraId="4C3124CD">
            <w:pPr>
              <w:jc w:val="center"/>
              <w:rPr>
                <w:rFonts w:hint="eastAsia" w:ascii="宋体" w:hAnsi="宋体" w:eastAsia="宋体" w:cs="宋体"/>
                <w:color w:val="auto"/>
                <w:sz w:val="21"/>
                <w:szCs w:val="21"/>
              </w:rPr>
            </w:pPr>
          </w:p>
        </w:tc>
        <w:tc>
          <w:tcPr>
            <w:tcW w:w="1164" w:type="dxa"/>
            <w:noWrap w:val="0"/>
            <w:vAlign w:val="top"/>
          </w:tcPr>
          <w:p w14:paraId="45082CD2">
            <w:pPr>
              <w:jc w:val="center"/>
              <w:rPr>
                <w:rFonts w:hint="eastAsia" w:ascii="宋体" w:hAnsi="宋体" w:eastAsia="宋体" w:cs="宋体"/>
                <w:color w:val="auto"/>
                <w:sz w:val="21"/>
                <w:szCs w:val="21"/>
              </w:rPr>
            </w:pPr>
          </w:p>
        </w:tc>
        <w:tc>
          <w:tcPr>
            <w:tcW w:w="690" w:type="dxa"/>
            <w:noWrap w:val="0"/>
            <w:vAlign w:val="top"/>
          </w:tcPr>
          <w:p w14:paraId="1FB8F3CE">
            <w:pPr>
              <w:jc w:val="center"/>
              <w:rPr>
                <w:rFonts w:hint="eastAsia" w:ascii="宋体" w:hAnsi="宋体" w:eastAsia="宋体" w:cs="宋体"/>
                <w:color w:val="auto"/>
                <w:sz w:val="21"/>
                <w:szCs w:val="21"/>
              </w:rPr>
            </w:pPr>
          </w:p>
        </w:tc>
        <w:tc>
          <w:tcPr>
            <w:tcW w:w="1050" w:type="dxa"/>
            <w:noWrap w:val="0"/>
            <w:vAlign w:val="top"/>
          </w:tcPr>
          <w:p w14:paraId="7D61D4DA">
            <w:pPr>
              <w:jc w:val="center"/>
              <w:rPr>
                <w:rFonts w:hint="eastAsia" w:ascii="宋体" w:hAnsi="宋体" w:eastAsia="宋体" w:cs="宋体"/>
                <w:color w:val="auto"/>
                <w:sz w:val="21"/>
                <w:szCs w:val="21"/>
              </w:rPr>
            </w:pPr>
          </w:p>
        </w:tc>
        <w:tc>
          <w:tcPr>
            <w:tcW w:w="810" w:type="dxa"/>
            <w:noWrap w:val="0"/>
            <w:vAlign w:val="top"/>
          </w:tcPr>
          <w:p w14:paraId="097AFB43">
            <w:pPr>
              <w:jc w:val="center"/>
              <w:rPr>
                <w:rFonts w:hint="eastAsia" w:ascii="宋体" w:hAnsi="宋体" w:eastAsia="宋体" w:cs="宋体"/>
                <w:color w:val="auto"/>
                <w:sz w:val="21"/>
                <w:szCs w:val="21"/>
              </w:rPr>
            </w:pPr>
          </w:p>
        </w:tc>
        <w:tc>
          <w:tcPr>
            <w:tcW w:w="898" w:type="dxa"/>
            <w:noWrap w:val="0"/>
            <w:vAlign w:val="top"/>
          </w:tcPr>
          <w:p w14:paraId="0D98046C">
            <w:pPr>
              <w:jc w:val="center"/>
              <w:rPr>
                <w:rFonts w:hint="eastAsia" w:ascii="宋体" w:hAnsi="宋体" w:eastAsia="宋体" w:cs="宋体"/>
                <w:color w:val="auto"/>
                <w:sz w:val="21"/>
                <w:szCs w:val="21"/>
              </w:rPr>
            </w:pPr>
          </w:p>
        </w:tc>
      </w:tr>
      <w:tr w14:paraId="0B40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57" w:type="dxa"/>
            <w:noWrap w:val="0"/>
            <w:vAlign w:val="center"/>
          </w:tcPr>
          <w:p w14:paraId="4C49F7DD">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241" w:type="dxa"/>
            <w:noWrap w:val="0"/>
            <w:vAlign w:val="top"/>
          </w:tcPr>
          <w:p w14:paraId="12E95D96">
            <w:pPr>
              <w:jc w:val="center"/>
              <w:rPr>
                <w:rFonts w:hint="eastAsia" w:ascii="宋体" w:hAnsi="宋体" w:eastAsia="宋体" w:cs="宋体"/>
                <w:color w:val="auto"/>
                <w:sz w:val="21"/>
                <w:szCs w:val="21"/>
              </w:rPr>
            </w:pPr>
          </w:p>
        </w:tc>
        <w:tc>
          <w:tcPr>
            <w:tcW w:w="1142" w:type="dxa"/>
            <w:noWrap w:val="0"/>
            <w:vAlign w:val="top"/>
          </w:tcPr>
          <w:p w14:paraId="0DA63D09">
            <w:pPr>
              <w:jc w:val="center"/>
              <w:rPr>
                <w:rFonts w:hint="eastAsia" w:ascii="宋体" w:hAnsi="宋体" w:eastAsia="宋体" w:cs="宋体"/>
                <w:color w:val="auto"/>
                <w:sz w:val="21"/>
                <w:szCs w:val="21"/>
              </w:rPr>
            </w:pPr>
          </w:p>
        </w:tc>
        <w:tc>
          <w:tcPr>
            <w:tcW w:w="1805" w:type="dxa"/>
            <w:noWrap w:val="0"/>
            <w:vAlign w:val="top"/>
          </w:tcPr>
          <w:p w14:paraId="007B4CBA">
            <w:pPr>
              <w:jc w:val="center"/>
              <w:rPr>
                <w:rFonts w:hint="eastAsia" w:ascii="宋体" w:hAnsi="宋体" w:eastAsia="宋体" w:cs="宋体"/>
                <w:color w:val="auto"/>
                <w:sz w:val="21"/>
                <w:szCs w:val="21"/>
              </w:rPr>
            </w:pPr>
          </w:p>
        </w:tc>
        <w:tc>
          <w:tcPr>
            <w:tcW w:w="1164" w:type="dxa"/>
            <w:noWrap w:val="0"/>
            <w:vAlign w:val="top"/>
          </w:tcPr>
          <w:p w14:paraId="5F252F58">
            <w:pPr>
              <w:jc w:val="center"/>
              <w:rPr>
                <w:rFonts w:hint="eastAsia" w:ascii="宋体" w:hAnsi="宋体" w:eastAsia="宋体" w:cs="宋体"/>
                <w:color w:val="auto"/>
                <w:sz w:val="21"/>
                <w:szCs w:val="21"/>
              </w:rPr>
            </w:pPr>
          </w:p>
        </w:tc>
        <w:tc>
          <w:tcPr>
            <w:tcW w:w="690" w:type="dxa"/>
            <w:noWrap w:val="0"/>
            <w:vAlign w:val="top"/>
          </w:tcPr>
          <w:p w14:paraId="59CF7E64">
            <w:pPr>
              <w:jc w:val="center"/>
              <w:rPr>
                <w:rFonts w:hint="eastAsia" w:ascii="宋体" w:hAnsi="宋体" w:eastAsia="宋体" w:cs="宋体"/>
                <w:color w:val="auto"/>
                <w:sz w:val="21"/>
                <w:szCs w:val="21"/>
              </w:rPr>
            </w:pPr>
          </w:p>
        </w:tc>
        <w:tc>
          <w:tcPr>
            <w:tcW w:w="1050" w:type="dxa"/>
            <w:noWrap w:val="0"/>
            <w:vAlign w:val="top"/>
          </w:tcPr>
          <w:p w14:paraId="53390CC9">
            <w:pPr>
              <w:jc w:val="center"/>
              <w:rPr>
                <w:rFonts w:hint="eastAsia" w:ascii="宋体" w:hAnsi="宋体" w:eastAsia="宋体" w:cs="宋体"/>
                <w:color w:val="auto"/>
                <w:sz w:val="21"/>
                <w:szCs w:val="21"/>
              </w:rPr>
            </w:pPr>
          </w:p>
        </w:tc>
        <w:tc>
          <w:tcPr>
            <w:tcW w:w="810" w:type="dxa"/>
            <w:noWrap w:val="0"/>
            <w:vAlign w:val="top"/>
          </w:tcPr>
          <w:p w14:paraId="4AD4C188">
            <w:pPr>
              <w:jc w:val="center"/>
              <w:rPr>
                <w:rFonts w:hint="eastAsia" w:ascii="宋体" w:hAnsi="宋体" w:eastAsia="宋体" w:cs="宋体"/>
                <w:color w:val="auto"/>
                <w:sz w:val="21"/>
                <w:szCs w:val="21"/>
              </w:rPr>
            </w:pPr>
          </w:p>
        </w:tc>
        <w:tc>
          <w:tcPr>
            <w:tcW w:w="898" w:type="dxa"/>
            <w:noWrap w:val="0"/>
            <w:vAlign w:val="top"/>
          </w:tcPr>
          <w:p w14:paraId="1A687C18">
            <w:pPr>
              <w:jc w:val="center"/>
              <w:rPr>
                <w:rFonts w:hint="eastAsia" w:ascii="宋体" w:hAnsi="宋体" w:eastAsia="宋体" w:cs="宋体"/>
                <w:color w:val="auto"/>
                <w:sz w:val="21"/>
                <w:szCs w:val="21"/>
              </w:rPr>
            </w:pPr>
          </w:p>
        </w:tc>
      </w:tr>
      <w:tr w14:paraId="3625C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7" w:type="dxa"/>
            <w:noWrap w:val="0"/>
            <w:vAlign w:val="center"/>
          </w:tcPr>
          <w:p w14:paraId="178B3681">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241" w:type="dxa"/>
            <w:noWrap w:val="0"/>
            <w:vAlign w:val="top"/>
          </w:tcPr>
          <w:p w14:paraId="174603AB">
            <w:pPr>
              <w:jc w:val="center"/>
              <w:rPr>
                <w:rFonts w:hint="eastAsia" w:ascii="宋体" w:hAnsi="宋体" w:eastAsia="宋体" w:cs="宋体"/>
                <w:color w:val="auto"/>
                <w:sz w:val="21"/>
                <w:szCs w:val="21"/>
              </w:rPr>
            </w:pPr>
          </w:p>
        </w:tc>
        <w:tc>
          <w:tcPr>
            <w:tcW w:w="1142" w:type="dxa"/>
            <w:noWrap w:val="0"/>
            <w:vAlign w:val="top"/>
          </w:tcPr>
          <w:p w14:paraId="0D1BA2D7">
            <w:pPr>
              <w:jc w:val="center"/>
              <w:rPr>
                <w:rFonts w:hint="eastAsia" w:ascii="宋体" w:hAnsi="宋体" w:eastAsia="宋体" w:cs="宋体"/>
                <w:color w:val="auto"/>
                <w:sz w:val="21"/>
                <w:szCs w:val="21"/>
              </w:rPr>
            </w:pPr>
          </w:p>
        </w:tc>
        <w:tc>
          <w:tcPr>
            <w:tcW w:w="1805" w:type="dxa"/>
            <w:noWrap w:val="0"/>
            <w:vAlign w:val="top"/>
          </w:tcPr>
          <w:p w14:paraId="60C7AFD2">
            <w:pPr>
              <w:jc w:val="center"/>
              <w:rPr>
                <w:rFonts w:hint="eastAsia" w:ascii="宋体" w:hAnsi="宋体" w:eastAsia="宋体" w:cs="宋体"/>
                <w:color w:val="auto"/>
                <w:sz w:val="21"/>
                <w:szCs w:val="21"/>
              </w:rPr>
            </w:pPr>
          </w:p>
        </w:tc>
        <w:tc>
          <w:tcPr>
            <w:tcW w:w="1164" w:type="dxa"/>
            <w:noWrap w:val="0"/>
            <w:vAlign w:val="top"/>
          </w:tcPr>
          <w:p w14:paraId="13745B87">
            <w:pPr>
              <w:jc w:val="center"/>
              <w:rPr>
                <w:rFonts w:hint="eastAsia" w:ascii="宋体" w:hAnsi="宋体" w:eastAsia="宋体" w:cs="宋体"/>
                <w:color w:val="auto"/>
                <w:sz w:val="21"/>
                <w:szCs w:val="21"/>
              </w:rPr>
            </w:pPr>
          </w:p>
        </w:tc>
        <w:tc>
          <w:tcPr>
            <w:tcW w:w="690" w:type="dxa"/>
            <w:noWrap w:val="0"/>
            <w:vAlign w:val="top"/>
          </w:tcPr>
          <w:p w14:paraId="226054A2">
            <w:pPr>
              <w:jc w:val="center"/>
              <w:rPr>
                <w:rFonts w:hint="eastAsia" w:ascii="宋体" w:hAnsi="宋体" w:eastAsia="宋体" w:cs="宋体"/>
                <w:color w:val="auto"/>
                <w:sz w:val="21"/>
                <w:szCs w:val="21"/>
              </w:rPr>
            </w:pPr>
          </w:p>
        </w:tc>
        <w:tc>
          <w:tcPr>
            <w:tcW w:w="1050" w:type="dxa"/>
            <w:noWrap w:val="0"/>
            <w:vAlign w:val="top"/>
          </w:tcPr>
          <w:p w14:paraId="426D0952">
            <w:pPr>
              <w:jc w:val="center"/>
              <w:rPr>
                <w:rFonts w:hint="eastAsia" w:ascii="宋体" w:hAnsi="宋体" w:eastAsia="宋体" w:cs="宋体"/>
                <w:color w:val="auto"/>
                <w:sz w:val="21"/>
                <w:szCs w:val="21"/>
              </w:rPr>
            </w:pPr>
          </w:p>
        </w:tc>
        <w:tc>
          <w:tcPr>
            <w:tcW w:w="810" w:type="dxa"/>
            <w:noWrap w:val="0"/>
            <w:vAlign w:val="top"/>
          </w:tcPr>
          <w:p w14:paraId="288587D0">
            <w:pPr>
              <w:jc w:val="center"/>
              <w:rPr>
                <w:rFonts w:hint="eastAsia" w:ascii="宋体" w:hAnsi="宋体" w:eastAsia="宋体" w:cs="宋体"/>
                <w:color w:val="auto"/>
                <w:sz w:val="21"/>
                <w:szCs w:val="21"/>
              </w:rPr>
            </w:pPr>
          </w:p>
        </w:tc>
        <w:tc>
          <w:tcPr>
            <w:tcW w:w="898" w:type="dxa"/>
            <w:noWrap w:val="0"/>
            <w:vAlign w:val="top"/>
          </w:tcPr>
          <w:p w14:paraId="5E007C8F">
            <w:pPr>
              <w:jc w:val="center"/>
              <w:rPr>
                <w:rFonts w:hint="eastAsia" w:ascii="宋体" w:hAnsi="宋体" w:eastAsia="宋体" w:cs="宋体"/>
                <w:color w:val="auto"/>
                <w:sz w:val="21"/>
                <w:szCs w:val="21"/>
              </w:rPr>
            </w:pPr>
          </w:p>
        </w:tc>
      </w:tr>
      <w:tr w14:paraId="1EAE5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757" w:type="dxa"/>
            <w:noWrap w:val="0"/>
            <w:vAlign w:val="center"/>
          </w:tcPr>
          <w:p w14:paraId="14EB7851">
            <w:pPr>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暂定总</w:t>
            </w:r>
            <w:r>
              <w:rPr>
                <w:rFonts w:hint="eastAsia" w:ascii="宋体" w:hAnsi="宋体" w:eastAsia="宋体" w:cs="宋体"/>
                <w:color w:val="auto"/>
                <w:sz w:val="21"/>
                <w:szCs w:val="21"/>
              </w:rPr>
              <w:t>价</w:t>
            </w:r>
          </w:p>
        </w:tc>
        <w:tc>
          <w:tcPr>
            <w:tcW w:w="8800" w:type="dxa"/>
            <w:gridSpan w:val="8"/>
            <w:noWrap w:val="0"/>
            <w:vAlign w:val="center"/>
          </w:tcPr>
          <w:p w14:paraId="6DC52160">
            <w:pPr>
              <w:ind w:left="0" w:leftChars="0" w:firstLine="0" w:firstLineChars="0"/>
              <w:jc w:val="both"/>
              <w:rPr>
                <w:rFonts w:hint="eastAsia" w:ascii="宋体" w:hAnsi="宋体" w:eastAsia="宋体" w:cs="宋体"/>
                <w:color w:val="auto"/>
                <w:sz w:val="21"/>
                <w:szCs w:val="21"/>
              </w:rPr>
            </w:pPr>
            <w:r>
              <w:rPr>
                <w:rFonts w:hint="eastAsia" w:ascii="宋体" w:hAnsi="宋体" w:eastAsia="宋体" w:cs="宋体"/>
                <w:color w:val="auto"/>
                <w:sz w:val="21"/>
                <w:szCs w:val="21"/>
              </w:rPr>
              <w:t>大写：</w:t>
            </w:r>
          </w:p>
          <w:p w14:paraId="5223CDA7">
            <w:pPr>
              <w:ind w:left="0" w:leftChars="0" w:firstLine="0" w:firstLineChars="0"/>
              <w:jc w:val="both"/>
              <w:rPr>
                <w:rFonts w:hint="eastAsia" w:ascii="宋体" w:hAnsi="宋体" w:eastAsia="宋体" w:cs="宋体"/>
                <w:color w:val="auto"/>
                <w:sz w:val="21"/>
                <w:szCs w:val="21"/>
              </w:rPr>
            </w:pPr>
            <w:r>
              <w:rPr>
                <w:rFonts w:hint="eastAsia" w:ascii="宋体" w:hAnsi="宋体" w:eastAsia="宋体" w:cs="宋体"/>
                <w:color w:val="auto"/>
                <w:sz w:val="21"/>
                <w:szCs w:val="21"/>
              </w:rPr>
              <w:t>小写：</w:t>
            </w:r>
          </w:p>
        </w:tc>
      </w:tr>
      <w:tr w14:paraId="0A32F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7" w:type="dxa"/>
            <w:noWrap w:val="0"/>
            <w:vAlign w:val="center"/>
          </w:tcPr>
          <w:p w14:paraId="346DC7D3">
            <w:pPr>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c>
          <w:tcPr>
            <w:tcW w:w="8800" w:type="dxa"/>
            <w:gridSpan w:val="8"/>
            <w:noWrap w:val="0"/>
            <w:vAlign w:val="center"/>
          </w:tcPr>
          <w:p w14:paraId="4E01438E">
            <w:pPr>
              <w:ind w:left="0" w:leftChars="0"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保留小数点后两位</w:t>
            </w:r>
            <w:r>
              <w:rPr>
                <w:rFonts w:hint="eastAsia" w:ascii="宋体" w:hAnsi="宋体" w:eastAsia="宋体" w:cs="宋体"/>
                <w:color w:val="auto"/>
                <w:sz w:val="21"/>
                <w:szCs w:val="21"/>
                <w:lang w:eastAsia="zh-CN"/>
              </w:rPr>
              <w:t>。</w:t>
            </w:r>
          </w:p>
        </w:tc>
      </w:tr>
    </w:tbl>
    <w:p w14:paraId="7720D9C0">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w:t>
      </w:r>
      <w:r>
        <w:rPr>
          <w:rFonts w:hint="eastAsia" w:eastAsia="宋体" w:cs="宋体"/>
          <w:color w:val="auto"/>
          <w:sz w:val="24"/>
          <w:szCs w:val="24"/>
          <w:highlight w:val="none"/>
          <w:lang w:val="en-US" w:eastAsia="zh-CN"/>
        </w:rPr>
        <w:t>暂定</w:t>
      </w:r>
      <w:r>
        <w:rPr>
          <w:rFonts w:hint="eastAsia" w:ascii="宋体" w:hAnsi="宋体" w:eastAsia="宋体" w:cs="宋体"/>
          <w:color w:val="auto"/>
          <w:sz w:val="24"/>
          <w:szCs w:val="24"/>
          <w:highlight w:val="none"/>
        </w:rPr>
        <w:t>总价：人民币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元（¥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7E2CA1">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lang w:eastAsia="zh-CN"/>
        </w:rPr>
      </w:pPr>
      <w:r>
        <w:rPr>
          <w:rFonts w:hint="eastAsia"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合同价格包括：报价费用中包括本次采购中所涉及的</w:t>
      </w:r>
      <w:r>
        <w:rPr>
          <w:rFonts w:hint="eastAsia" w:ascii="宋体" w:hAnsi="宋体" w:eastAsia="宋体" w:cs="宋体"/>
          <w:color w:val="auto"/>
          <w:sz w:val="24"/>
          <w:szCs w:val="24"/>
          <w:highlight w:val="none"/>
          <w:lang w:val="en-US" w:eastAsia="zh-CN"/>
        </w:rPr>
        <w:t>费用</w:t>
      </w:r>
      <w:r>
        <w:rPr>
          <w:rFonts w:hint="eastAsia" w:ascii="宋体" w:hAnsi="宋体" w:eastAsia="宋体" w:cs="宋体"/>
          <w:color w:val="auto"/>
          <w:sz w:val="24"/>
          <w:szCs w:val="24"/>
          <w:highlight w:val="none"/>
        </w:rPr>
        <w:t>：包括但不限于</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的制造、包装、运输、</w:t>
      </w:r>
      <w:r>
        <w:rPr>
          <w:rFonts w:hint="eastAsia" w:ascii="宋体" w:hAnsi="宋体" w:eastAsia="宋体" w:cs="宋体"/>
          <w:color w:val="auto"/>
          <w:sz w:val="24"/>
          <w:szCs w:val="24"/>
          <w:highlight w:val="none"/>
          <w:lang w:val="en-US" w:eastAsia="zh-CN"/>
        </w:rPr>
        <w:t>安装调试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售后服务、培训、</w:t>
      </w:r>
      <w:r>
        <w:rPr>
          <w:rFonts w:hint="eastAsia" w:ascii="宋体" w:hAnsi="宋体" w:eastAsia="宋体" w:cs="宋体"/>
          <w:color w:val="auto"/>
          <w:sz w:val="24"/>
          <w:szCs w:val="24"/>
          <w:highlight w:val="none"/>
        </w:rPr>
        <w:t>验收、税金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代理服务费等一切相关的所有费用</w:t>
      </w:r>
      <w:r>
        <w:rPr>
          <w:rFonts w:hint="eastAsia" w:ascii="宋体" w:hAnsi="宋体" w:eastAsia="宋体" w:cs="宋体"/>
          <w:color w:val="auto"/>
          <w:sz w:val="24"/>
          <w:szCs w:val="24"/>
          <w:highlight w:val="none"/>
          <w:lang w:eastAsia="zh-CN"/>
        </w:rPr>
        <w:t>。</w:t>
      </w:r>
    </w:p>
    <w:p w14:paraId="1F2489D1">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为固定</w:t>
      </w: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，不受市场价变化的影响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以最终交货验收数量*固定</w:t>
      </w: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val="en-US" w:eastAsia="zh-CN"/>
        </w:rPr>
        <w:t>进行结算</w:t>
      </w:r>
      <w:r>
        <w:rPr>
          <w:rFonts w:hint="eastAsia" w:ascii="宋体" w:hAnsi="宋体" w:eastAsia="宋体" w:cs="宋体"/>
          <w:color w:val="auto"/>
          <w:sz w:val="24"/>
          <w:szCs w:val="24"/>
          <w:highlight w:val="none"/>
        </w:rPr>
        <w:t>。</w:t>
      </w:r>
    </w:p>
    <w:p w14:paraId="0C1C4D2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i w:val="0"/>
          <w:iCs w:val="0"/>
          <w:color w:val="auto"/>
          <w:sz w:val="24"/>
          <w:szCs w:val="24"/>
          <w:highlight w:val="none"/>
          <w:u w:val="singl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Hans"/>
        </w:rPr>
        <w:t>.</w:t>
      </w:r>
      <w:r>
        <w:rPr>
          <w:rFonts w:hint="eastAsia"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Hans"/>
        </w:rPr>
        <w:t>付款方式：</w:t>
      </w:r>
      <w:r>
        <w:rPr>
          <w:rFonts w:hint="eastAsia" w:eastAsia="宋体" w:cs="宋体"/>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w:t>
      </w:r>
    </w:p>
    <w:p w14:paraId="41482CA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3.4</w:t>
      </w:r>
      <w:r>
        <w:rPr>
          <w:rFonts w:hint="eastAsia" w:ascii="宋体" w:hAnsi="宋体" w:cs="宋体"/>
          <w:color w:val="auto"/>
          <w:sz w:val="24"/>
          <w:szCs w:val="24"/>
          <w:highlight w:val="none"/>
        </w:rPr>
        <w:t>结算方式：银行转账。</w:t>
      </w:r>
    </w:p>
    <w:p w14:paraId="2FDA061E">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lang w:val="en-US" w:eastAsia="zh-CN"/>
        </w:rPr>
        <w:t>3.5</w:t>
      </w:r>
      <w:r>
        <w:rPr>
          <w:rFonts w:hint="eastAsia" w:ascii="宋体" w:hAnsi="宋体" w:cs="宋体"/>
          <w:color w:val="auto"/>
          <w:sz w:val="24"/>
          <w:szCs w:val="24"/>
        </w:rPr>
        <w:t>结算单位：由采购人负责结算，乙方开具合同总</w:t>
      </w:r>
      <w:r>
        <w:rPr>
          <w:rFonts w:hint="eastAsia" w:ascii="宋体" w:hAnsi="宋体" w:cs="宋体"/>
          <w:color w:val="auto"/>
          <w:sz w:val="24"/>
          <w:szCs w:val="24"/>
          <w:lang w:val="en-US" w:eastAsia="zh-CN"/>
        </w:rPr>
        <w:t>价款</w:t>
      </w:r>
      <w:r>
        <w:rPr>
          <w:rFonts w:hint="eastAsia" w:ascii="宋体" w:hAnsi="宋体" w:cs="宋体"/>
          <w:color w:val="auto"/>
          <w:sz w:val="24"/>
          <w:szCs w:val="24"/>
        </w:rPr>
        <w:t>的全额发票（增值税发票）交甲方。</w:t>
      </w:r>
    </w:p>
    <w:p w14:paraId="46DFECD2">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4、合同标的交货及安装</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、地点和条件</w:t>
      </w:r>
    </w:p>
    <w:p w14:paraId="6C68D413">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4.1交货时间：</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FDAC339">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4.2交货地点：</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9CE07C1">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4.3交付条件：</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6FA90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5、合同标的应符合招标文件、乙方投标文件的规定或约定，具体如下：</w:t>
      </w:r>
    </w:p>
    <w:p w14:paraId="28A76B9D">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30B0654">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6、验收</w:t>
      </w:r>
    </w:p>
    <w:p w14:paraId="267A4FD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6.1验收应按照招标文件、乙方投标文件的规定或约定进行，具体如下：</w:t>
      </w:r>
    </w:p>
    <w:p w14:paraId="4A75760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Hans"/>
        </w:rPr>
        <w:t>招标文件及投标文件</w:t>
      </w:r>
      <w:r>
        <w:rPr>
          <w:rFonts w:hint="eastAsia" w:ascii="宋体" w:hAnsi="宋体" w:eastAsia="宋体" w:cs="宋体"/>
          <w:color w:val="auto"/>
          <w:sz w:val="24"/>
          <w:szCs w:val="24"/>
          <w:highlight w:val="none"/>
        </w:rPr>
        <w:t>。</w:t>
      </w:r>
    </w:p>
    <w:p w14:paraId="7167CAB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7、合同款项的支付应按照招标文件的规定进行，具体如下：</w:t>
      </w:r>
    </w:p>
    <w:p w14:paraId="3AA179CB">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（按照实际情况编制填写，可以是表格或文字描述，包括一次性支付或分期支付等）</w:t>
      </w:r>
      <w:r>
        <w:rPr>
          <w:rFonts w:hint="eastAsia" w:ascii="宋体" w:hAnsi="宋体" w:eastAsia="宋体" w:cs="宋体"/>
          <w:color w:val="auto"/>
          <w:sz w:val="24"/>
          <w:szCs w:val="24"/>
          <w:highlight w:val="none"/>
        </w:rPr>
        <w:t>。</w:t>
      </w:r>
    </w:p>
    <w:p w14:paraId="430A157E">
      <w:pPr>
        <w:pStyle w:val="7"/>
        <w:keepNext w:val="0"/>
        <w:keepLines w:val="0"/>
        <w:pageBreakBefore w:val="0"/>
        <w:widowControl/>
        <w:numPr>
          <w:ilvl w:val="0"/>
          <w:numId w:val="1"/>
        </w:numPr>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质保条款</w:t>
      </w:r>
    </w:p>
    <w:p w14:paraId="32D2C54C">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left="480"/>
        <w:textAlignment w:val="auto"/>
        <w:rPr>
          <w:rFonts w:hint="eastAsia" w:ascii="宋体" w:hAnsi="宋体" w:eastAsia="宋体" w:cs="宋体"/>
          <w:color w:val="auto"/>
          <w:sz w:val="24"/>
          <w:szCs w:val="24"/>
          <w:highlight w:val="none"/>
          <w:u w:val="single"/>
          <w:lang w:eastAsia="zh-Hans"/>
        </w:rPr>
      </w:pPr>
      <w:r>
        <w:rPr>
          <w:rFonts w:hint="eastAsia" w:ascii="宋体" w:hAnsi="宋体" w:eastAsia="宋体" w:cs="宋体"/>
          <w:color w:val="auto"/>
          <w:sz w:val="24"/>
          <w:szCs w:val="24"/>
          <w:highlight w:val="none"/>
          <w:lang w:eastAsia="zh-Hans"/>
        </w:rPr>
        <w:t>8.1质保金：</w:t>
      </w:r>
      <w:r>
        <w:rPr>
          <w:rFonts w:hint="eastAsia" w:ascii="宋体" w:hAnsi="宋体" w:eastAsia="宋体" w:cs="宋体"/>
          <w:color w:val="auto"/>
          <w:sz w:val="24"/>
          <w:szCs w:val="24"/>
          <w:highlight w:val="none"/>
          <w:u w:val="single"/>
          <w:lang w:eastAsia="zh-Hans"/>
        </w:rPr>
        <w:t xml:space="preserve">     </w:t>
      </w:r>
      <w:r>
        <w:rPr>
          <w:rFonts w:hint="eastAsia"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Hans"/>
        </w:rPr>
        <w:t xml:space="preserve">     。</w:t>
      </w:r>
    </w:p>
    <w:p w14:paraId="7027EEE1">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960" w:firstLineChars="400"/>
        <w:textAlignment w:val="auto"/>
        <w:rPr>
          <w:rFonts w:hint="eastAsia" w:ascii="宋体" w:hAnsi="宋体" w:eastAsia="宋体" w:cs="宋体"/>
          <w:color w:val="auto"/>
          <w:sz w:val="24"/>
          <w:szCs w:val="24"/>
          <w:highlight w:val="none"/>
        </w:rPr>
      </w:pPr>
      <w:r>
        <w:rPr>
          <w:rFonts w:hint="eastAsia" w:eastAsia="宋体" w:cs="宋体"/>
          <w:color w:val="auto"/>
          <w:sz w:val="24"/>
          <w:szCs w:val="24"/>
          <w:highlight w:val="none"/>
          <w:lang w:eastAsia="zh-CN"/>
        </w:rPr>
        <w:t>☑</w:t>
      </w:r>
      <w:r>
        <w:rPr>
          <w:rFonts w:hint="eastAsia" w:ascii="宋体" w:hAnsi="宋体" w:eastAsia="宋体" w:cs="宋体"/>
          <w:color w:val="auto"/>
          <w:sz w:val="24"/>
          <w:szCs w:val="24"/>
          <w:highlight w:val="none"/>
        </w:rPr>
        <w:t>无。□有，具体如下：</w:t>
      </w:r>
      <w:r>
        <w:rPr>
          <w:rFonts w:hint="eastAsia" w:ascii="宋体" w:hAnsi="宋体" w:eastAsia="宋体" w:cs="宋体"/>
          <w:color w:val="auto"/>
          <w:sz w:val="24"/>
          <w:szCs w:val="24"/>
          <w:highlight w:val="none"/>
          <w:u w:val="single"/>
        </w:rPr>
        <w:t>（</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1BDEB4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Hans"/>
        </w:rPr>
        <w:t>.2质保期：</w:t>
      </w:r>
      <w:r>
        <w:rPr>
          <w:rFonts w:hint="eastAsia"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A80147C">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9、合同有效期</w:t>
      </w:r>
    </w:p>
    <w:p w14:paraId="3466365C">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（按照实际情况编制填写，可以是表格或文字描述）</w:t>
      </w:r>
      <w:r>
        <w:rPr>
          <w:rFonts w:hint="eastAsia" w:ascii="宋体" w:hAnsi="宋体" w:eastAsia="宋体" w:cs="宋体"/>
          <w:color w:val="auto"/>
          <w:sz w:val="24"/>
          <w:szCs w:val="24"/>
          <w:highlight w:val="none"/>
        </w:rPr>
        <w:t>。</w:t>
      </w:r>
    </w:p>
    <w:p w14:paraId="51042DB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10、违约责任</w:t>
      </w:r>
    </w:p>
    <w:p w14:paraId="30BD4BE4">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w:t>
      </w:r>
      <w:r>
        <w:rPr>
          <w:rFonts w:hint="eastAsia" w:ascii="宋体" w:hAnsi="宋体" w:eastAsia="宋体" w:cs="宋体"/>
          <w:color w:val="auto"/>
          <w:sz w:val="24"/>
          <w:szCs w:val="24"/>
          <w:highlight w:val="none"/>
          <w:lang w:val="en-US" w:eastAsia="zh-CN"/>
        </w:rPr>
        <w:t>中华人民共和国民法典</w:t>
      </w:r>
      <w:r>
        <w:rPr>
          <w:rFonts w:hint="eastAsia" w:ascii="宋体" w:hAnsi="宋体" w:eastAsia="宋体" w:cs="宋体"/>
          <w:color w:val="auto"/>
          <w:sz w:val="24"/>
          <w:szCs w:val="24"/>
          <w:highlight w:val="none"/>
        </w:rPr>
        <w:t>》中的相关条款执行。</w:t>
      </w:r>
    </w:p>
    <w:p w14:paraId="3D4B53C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6795D7AB">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w:t>
      </w:r>
      <w:r>
        <w:rPr>
          <w:rFonts w:hint="eastAsia" w:ascii="宋体" w:hAnsi="宋体" w:eastAsia="宋体" w:cs="宋体"/>
          <w:color w:val="auto"/>
          <w:sz w:val="24"/>
          <w:szCs w:val="24"/>
          <w:highlight w:val="none"/>
          <w:lang w:eastAsia="zh-CN"/>
        </w:rPr>
        <w:t>延迟交货期</w:t>
      </w:r>
      <w:r>
        <w:rPr>
          <w:rFonts w:hint="eastAsia" w:ascii="宋体" w:hAnsi="宋体" w:eastAsia="宋体" w:cs="宋体"/>
          <w:color w:val="auto"/>
          <w:sz w:val="24"/>
          <w:szCs w:val="24"/>
          <w:highlight w:val="none"/>
        </w:rPr>
        <w:t>，将按违约终止合同。</w:t>
      </w:r>
    </w:p>
    <w:p w14:paraId="68BBEF8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w:t>
      </w:r>
      <w:r>
        <w:rPr>
          <w:rFonts w:hint="eastAsia" w:ascii="宋体" w:hAnsi="宋体" w:eastAsia="宋体" w:cs="宋体"/>
          <w:color w:val="auto"/>
          <w:sz w:val="24"/>
          <w:szCs w:val="24"/>
          <w:highlight w:val="none"/>
          <w:lang w:eastAsia="zh-CN"/>
        </w:rPr>
        <w:t>交货期</w:t>
      </w:r>
      <w:r>
        <w:rPr>
          <w:rFonts w:hint="eastAsia" w:ascii="宋体" w:hAnsi="宋体" w:eastAsia="宋体" w:cs="宋体"/>
          <w:color w:val="auto"/>
          <w:sz w:val="24"/>
          <w:szCs w:val="24"/>
          <w:highlight w:val="none"/>
        </w:rPr>
        <w:t>的情况，应及时以书面形式将拖延的事实，可能拖延的期限和理由通知甲方。甲方在收到乙方通知后，应尽快对情况进行评价，并确定是否通过修改合同，酌情延长</w:t>
      </w:r>
      <w:r>
        <w:rPr>
          <w:rFonts w:hint="eastAsia" w:ascii="宋体" w:hAnsi="宋体" w:eastAsia="宋体" w:cs="宋体"/>
          <w:color w:val="auto"/>
          <w:sz w:val="24"/>
          <w:szCs w:val="24"/>
          <w:highlight w:val="none"/>
          <w:lang w:eastAsia="zh-CN"/>
        </w:rPr>
        <w:t>交货期</w:t>
      </w:r>
      <w:r>
        <w:rPr>
          <w:rFonts w:hint="eastAsia" w:ascii="宋体" w:hAnsi="宋体" w:eastAsia="宋体" w:cs="宋体"/>
          <w:color w:val="auto"/>
          <w:sz w:val="24"/>
          <w:szCs w:val="24"/>
          <w:highlight w:val="none"/>
        </w:rPr>
        <w:t>或对乙方加收误期赔偿金。每延误一周的赔偿费按</w:t>
      </w:r>
      <w:r>
        <w:rPr>
          <w:rFonts w:hint="eastAsia" w:ascii="宋体" w:hAnsi="宋体" w:eastAsia="宋体" w:cs="宋体"/>
          <w:color w:val="auto"/>
          <w:sz w:val="24"/>
          <w:szCs w:val="24"/>
          <w:highlight w:val="none"/>
          <w:lang w:eastAsia="zh-CN"/>
        </w:rPr>
        <w:t>合同价格</w:t>
      </w:r>
      <w:r>
        <w:rPr>
          <w:rFonts w:hint="eastAsia" w:ascii="宋体" w:hAnsi="宋体" w:eastAsia="宋体" w:cs="宋体"/>
          <w:color w:val="auto"/>
          <w:sz w:val="24"/>
          <w:szCs w:val="24"/>
          <w:highlight w:val="none"/>
        </w:rPr>
        <w:t>的百分之零点五（0.5%）计收，直至</w:t>
      </w:r>
      <w:r>
        <w:rPr>
          <w:rFonts w:hint="eastAsia" w:ascii="宋体" w:hAnsi="宋体" w:eastAsia="宋体" w:cs="宋体"/>
          <w:color w:val="auto"/>
          <w:sz w:val="24"/>
          <w:szCs w:val="24"/>
          <w:highlight w:val="none"/>
          <w:lang w:eastAsia="zh-CN"/>
        </w:rPr>
        <w:t>完成</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为止。误期赔偿费的最高限额为合同价格的百分之五（5%）。一旦达到误期赔偿费的最高限额，甲方可终止合同。</w:t>
      </w:r>
    </w:p>
    <w:p w14:paraId="754214C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3、违约终止合同：乙方未按合同要求</w:t>
      </w:r>
      <w:r>
        <w:rPr>
          <w:rFonts w:hint="eastAsia" w:ascii="宋体" w:hAnsi="宋体" w:eastAsia="宋体" w:cs="宋体"/>
          <w:color w:val="auto"/>
          <w:sz w:val="24"/>
          <w:szCs w:val="24"/>
          <w:highlight w:val="none"/>
          <w:lang w:eastAsia="zh-CN"/>
        </w:rPr>
        <w:t>完成本项目产品供应，或提供的产品</w:t>
      </w:r>
      <w:r>
        <w:rPr>
          <w:rFonts w:hint="eastAsia" w:ascii="宋体" w:hAnsi="宋体" w:eastAsia="宋体" w:cs="宋体"/>
          <w:color w:val="auto"/>
          <w:sz w:val="24"/>
          <w:szCs w:val="24"/>
          <w:highlight w:val="none"/>
        </w:rPr>
        <w:t>不能满足技术要求，甲方会同监督机构有权终止合同，对乙方违约行为进行追究，同时按政府采购法的有关规定进行相应的处罚。</w:t>
      </w:r>
    </w:p>
    <w:p w14:paraId="3D3FED33">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11、知识产权</w:t>
      </w:r>
    </w:p>
    <w:p w14:paraId="45FA357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2021C20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255EA34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12、解决争议的方法</w:t>
      </w:r>
    </w:p>
    <w:p w14:paraId="089E065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12.1甲、乙双方协商解决。</w:t>
      </w:r>
    </w:p>
    <w:p w14:paraId="1E36C86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12.2若协商解决不成，则通过下列途径之一解决：</w:t>
      </w:r>
    </w:p>
    <w:p w14:paraId="5E474D5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□提交仲裁委员会仲裁，具体如下：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4849827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□向人民法院提起诉讼，具体如下：</w:t>
      </w:r>
      <w:r>
        <w:rPr>
          <w:rFonts w:hint="eastAsia" w:ascii="宋体" w:hAnsi="宋体" w:eastAsia="宋体" w:cs="宋体"/>
          <w:color w:val="auto"/>
          <w:sz w:val="24"/>
          <w:szCs w:val="24"/>
          <w:highlight w:val="none"/>
          <w:u w:val="single"/>
        </w:rPr>
        <w:t>（按照实际情况编制填写）</w:t>
      </w:r>
      <w:r>
        <w:rPr>
          <w:rFonts w:hint="eastAsia" w:ascii="宋体" w:hAnsi="宋体" w:eastAsia="宋体" w:cs="宋体"/>
          <w:color w:val="auto"/>
          <w:sz w:val="24"/>
          <w:szCs w:val="24"/>
          <w:highlight w:val="none"/>
        </w:rPr>
        <w:t>。</w:t>
      </w:r>
    </w:p>
    <w:p w14:paraId="3E571565">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13、不可抗力</w:t>
      </w:r>
    </w:p>
    <w:p w14:paraId="3860FD14">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51F684E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14:paraId="350B4913">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14、合同条款</w:t>
      </w:r>
    </w:p>
    <w:p w14:paraId="5B6DE300">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（按照实际情况双方可通过友好协商进行约定）</w:t>
      </w:r>
      <w:r>
        <w:rPr>
          <w:rFonts w:hint="eastAsia" w:ascii="宋体" w:hAnsi="宋体" w:eastAsia="宋体" w:cs="宋体"/>
          <w:color w:val="auto"/>
          <w:sz w:val="24"/>
          <w:szCs w:val="24"/>
          <w:highlight w:val="none"/>
        </w:rPr>
        <w:t>。</w:t>
      </w:r>
    </w:p>
    <w:p w14:paraId="125D03E8">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15、其他约定</w:t>
      </w:r>
    </w:p>
    <w:p w14:paraId="5C013DFD">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15.1合同文件与本合同具有同等法律效力。</w:t>
      </w:r>
    </w:p>
    <w:p w14:paraId="72BEFC7D">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15.2本合同未尽事宜，双方可另行补充。</w:t>
      </w:r>
    </w:p>
    <w:p w14:paraId="5C7A42CE">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15.3合同生效：自签订之日起生效；</w:t>
      </w:r>
    </w:p>
    <w:p w14:paraId="424463C0">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15.4本合同一式</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份，经双方授权代表签字并盖章后生效。甲方、乙方各执</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u w:val="single"/>
        </w:rPr>
        <w:t>（填写需要备案的监管部门的全称）</w:t>
      </w:r>
      <w:r>
        <w:rPr>
          <w:rFonts w:hint="eastAsia" w:ascii="宋体" w:hAnsi="宋体" w:eastAsia="宋体" w:cs="宋体"/>
          <w:color w:val="auto"/>
          <w:sz w:val="24"/>
          <w:szCs w:val="24"/>
          <w:highlight w:val="none"/>
        </w:rPr>
        <w:t>备案</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份，具有同等效力。</w:t>
      </w:r>
    </w:p>
    <w:p w14:paraId="01EFA906">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15.5其他：□无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（按照实际情况编制填写需要增加的内容）</w:t>
      </w:r>
      <w:r>
        <w:rPr>
          <w:rFonts w:hint="eastAsia" w:ascii="宋体" w:hAnsi="宋体" w:eastAsia="宋体" w:cs="宋体"/>
          <w:color w:val="auto"/>
          <w:sz w:val="24"/>
          <w:szCs w:val="24"/>
          <w:highlight w:val="none"/>
        </w:rPr>
        <w:t>。</w:t>
      </w:r>
    </w:p>
    <w:p w14:paraId="18B3BCA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74F809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3F36E31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p>
    <w:p w14:paraId="1CCC5C6A">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乙方：</w:t>
      </w:r>
    </w:p>
    <w:p w14:paraId="53F3F17E">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住所：</w:t>
      </w:r>
    </w:p>
    <w:p w14:paraId="015C14D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单位负责人：</w:t>
      </w:r>
    </w:p>
    <w:p w14:paraId="368C687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p>
    <w:p w14:paraId="37BB94C1">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委托代理人：</w:t>
      </w:r>
    </w:p>
    <w:p w14:paraId="0D8B450A">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p>
    <w:p w14:paraId="451EA919">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联系方法：</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联系方法：</w:t>
      </w:r>
    </w:p>
    <w:p w14:paraId="1AC2E117">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开户银行：</w:t>
      </w:r>
    </w:p>
    <w:p w14:paraId="7D2195BF">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账号：</w:t>
      </w:r>
    </w:p>
    <w:p w14:paraId="10C647EC">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p>
    <w:p w14:paraId="1159AD18">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p>
    <w:p w14:paraId="7B065C58">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签订地点：</w:t>
      </w:r>
      <w:r>
        <w:rPr>
          <w:rFonts w:hint="eastAsia" w:ascii="宋体" w:hAnsi="宋体" w:eastAsia="宋体" w:cs="宋体"/>
          <w:color w:val="auto"/>
          <w:sz w:val="24"/>
          <w:szCs w:val="24"/>
          <w:highlight w:val="none"/>
          <w:u w:val="single"/>
          <w:lang w:eastAsia="zh-CN"/>
        </w:rPr>
        <w:t xml:space="preserve">                </w:t>
      </w:r>
    </w:p>
    <w:p w14:paraId="721EA77A">
      <w:pPr>
        <w:pStyle w:val="7"/>
        <w:keepNext w:val="0"/>
        <w:keepLines w:val="0"/>
        <w:pageBreakBefore w:val="0"/>
        <w:widowControl/>
        <w:kinsoku/>
        <w:wordWrap/>
        <w:overflowPunct/>
        <w:topLinePunct w:val="0"/>
        <w:autoSpaceDE/>
        <w:autoSpaceDN/>
        <w:bidi w:val="0"/>
        <w:adjustRightInd/>
        <w:snapToGrid/>
        <w:spacing w:before="75" w:beforeAutospacing="0" w:after="75"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6F99D5EA"/>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F86FF">
    <w:pPr>
      <w:pStyle w:val="5"/>
      <w:pBdr>
        <w:top w:val="none" w:color="auto" w:sz="0" w:space="1"/>
      </w:pBd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E88B26">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5E88B2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06CE8">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50CFF"/>
    <w:multiLevelType w:val="singleLevel"/>
    <w:tmpl w:val="62450CF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602CE5"/>
    <w:rsid w:val="4160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6"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正文 "/>
    <w:basedOn w:val="1"/>
    <w:next w:val="1"/>
    <w:qFormat/>
    <w:uiPriority w:val="0"/>
    <w:pPr>
      <w:widowControl w:val="0"/>
      <w:adjustRightInd w:val="0"/>
      <w:spacing w:line="318" w:lineRule="atLeast"/>
      <w:ind w:left="369" w:firstLine="369"/>
      <w:jc w:val="both"/>
      <w:textAlignment w:val="baseline"/>
    </w:pPr>
    <w:rPr>
      <w:rFonts w:ascii="宋体" w:hAnsi="宋体" w:eastAsia="宋体"/>
      <w:szCs w:val="20"/>
    </w:rPr>
  </w:style>
  <w:style w:type="paragraph" w:styleId="4">
    <w:name w:val="Body Text"/>
    <w:basedOn w:val="1"/>
    <w:next w:val="1"/>
    <w:uiPriority w:val="0"/>
    <w:pPr>
      <w:widowControl/>
      <w:jc w:val="left"/>
    </w:pPr>
    <w:rPr>
      <w:kern w:val="0"/>
      <w:sz w:val="24"/>
      <w:szCs w:val="20"/>
    </w:rPr>
  </w:style>
  <w:style w:type="paragraph" w:styleId="5">
    <w:name w:val="footer"/>
    <w:basedOn w:val="1"/>
    <w:next w:val="1"/>
    <w:qFormat/>
    <w:uiPriority w:val="0"/>
    <w:pPr>
      <w:pBdr>
        <w:top w:val="single" w:color="auto" w:sz="4" w:space="1"/>
      </w:pBd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rPr>
  </w:style>
  <w:style w:type="paragraph" w:styleId="11">
    <w:name w:val="List Paragraph"/>
    <w:basedOn w:val="1"/>
    <w:qFormat/>
    <w:uiPriority w:val="0"/>
    <w:pPr>
      <w:ind w:firstLine="420" w:firstLineChars="200"/>
    </w:pPr>
  </w:style>
  <w:style w:type="paragraph" w:customStyle="1" w:styleId="12">
    <w:name w:val="样式 10 磅"/>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2025-12-14T11:03:00Z</dcterms:created>
  <dc:creator>琴断弦奈何丶</dc:creator>
  <cp:lastModifiedBy>琴断弦奈何丶</cp:lastModifiedBy>
  <dcterms:modified xsi:type="dcterms:W3CDTF">2025-12-14T11:09:48Z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84789D43FEF64A02A6CD10F3C38F83E7_11</vt:lpwstr>
  </property>
  <property fmtid="{D5CDD505-2E9C-101B-9397-08002B2CF9AE}" pid="4" name="KSOTemplateDocerSaveRecord">
    <vt:lpwstr>eyJoZGlkIjoiYjc5MzE1ODQwMDM4NDMzMDMzYWVkZmVmYzA2NTc3MmUiLCJ1c2VySWQiOiIxMjI5NzY3OTkwIn0=</vt:lpwstr>
  </property>
</Properties>
</file>