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版本号：ZC2025-HW-24220260116004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勉县城镇生活垃圾转运处理设施设备更新项目（一期）环卫车辆采购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ZC2025-HW-242</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勉县城镇生活垃圾转运处理设施设备更新项目（一期）环卫车辆采购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ZC2025-HW-242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勉县城镇生活垃圾转运处理设施设备更新项目（一期）环卫车辆采购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勉县城镇生活垃圾转运处理设施设备更新项目（一期）环卫车辆采购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p>
      <w:pPr>
        <w:pStyle w:val="null3"/>
      </w:pPr>
      <w:r>
        <w:rPr>
          <w:rFonts w:ascii="仿宋_GB2312" w:hAnsi="仿宋_GB2312" w:cs="仿宋_GB2312" w:eastAsia="仿宋_GB2312"/>
        </w:rPr>
        <w:t>2、拟供车辆资料：供应商拟供车型必须在国家工业和信息化部发布的《车辆生产企业及产品》公告内；</w:t>
      </w:r>
    </w:p>
    <w:p>
      <w:pPr>
        <w:pStyle w:val="null3"/>
      </w:pPr>
      <w:r>
        <w:rPr>
          <w:rFonts w:ascii="仿宋_GB2312" w:hAnsi="仿宋_GB2312" w:cs="仿宋_GB2312" w:eastAsia="仿宋_GB2312"/>
        </w:rPr>
        <w:t>3、企业信用：供应商不得为“信用中国”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p>
      <w:pPr>
        <w:pStyle w:val="null3"/>
      </w:pPr>
      <w:r>
        <w:rPr>
          <w:rFonts w:ascii="仿宋_GB2312" w:hAnsi="仿宋_GB2312" w:cs="仿宋_GB2312" w:eastAsia="仿宋_GB2312"/>
        </w:rPr>
        <w:t>4、非联合体投标：本项目不接受联合体投标； （注：以投标文件中提供的声明为准）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税利鹤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3222900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宋扬、毛鑫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180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中标金额为基数，参照《国家计委关于印发&lt;招标代理服务收费管理暂行办法&gt;的通知》（计价格[2002]1980号）规定的货物类标准以差额定率累进制计算收取，由中标人在领取中标通知书前一次性足额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联系人：宋扬、毛鑫</w:t>
      </w:r>
    </w:p>
    <w:p>
      <w:pPr>
        <w:pStyle w:val="null3"/>
      </w:pPr>
      <w:r>
        <w:rPr>
          <w:rFonts w:ascii="仿宋_GB2312" w:hAnsi="仿宋_GB2312" w:cs="仿宋_GB2312" w:eastAsia="仿宋_GB2312"/>
        </w:rPr>
        <w:t>联系电话：029-88811050</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勉县城镇生活垃圾转运处理设施设备更新项目（一期）环卫车辆采购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4,920,000.00</w:t>
      </w:r>
    </w:p>
    <w:p>
      <w:pPr>
        <w:pStyle w:val="null3"/>
      </w:pPr>
      <w:r>
        <w:rPr>
          <w:rFonts w:ascii="仿宋_GB2312" w:hAnsi="仿宋_GB2312" w:cs="仿宋_GB2312" w:eastAsia="仿宋_GB2312"/>
        </w:rPr>
        <w:t>采购包最高限价（元）: 4,920,000.00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环卫车辆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标的名称：环卫车辆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FF"/>
              </w:rPr>
              <w:t>一、项目概况：</w:t>
            </w:r>
          </w:p>
          <w:p>
            <w:pPr>
              <w:pStyle w:val="null3"/>
              <w:ind w:firstLine="420"/>
            </w:pPr>
            <w:r>
              <w:rPr>
                <w:rFonts w:ascii="仿宋_GB2312" w:hAnsi="仿宋_GB2312" w:cs="仿宋_GB2312" w:eastAsia="仿宋_GB2312"/>
                <w:sz w:val="21"/>
                <w:color w:val="0000FF"/>
              </w:rPr>
              <w:t>勉县城镇生活垃圾转运处理设施设备更新项目（一期）环卫车辆采购</w:t>
            </w:r>
          </w:p>
          <w:p>
            <w:pPr>
              <w:pStyle w:val="null3"/>
            </w:pPr>
            <w:r>
              <w:rPr>
                <w:rFonts w:ascii="仿宋_GB2312" w:hAnsi="仿宋_GB2312" w:cs="仿宋_GB2312" w:eastAsia="仿宋_GB2312"/>
                <w:sz w:val="21"/>
                <w:b/>
                <w:color w:val="0000FF"/>
              </w:rPr>
              <w:t>二、采购标的：</w:t>
            </w:r>
          </w:p>
          <w:tbl>
            <w:tblPr>
              <w:tblBorders>
                <w:top w:val="none" w:color="000000" w:sz="4"/>
                <w:left w:val="none" w:color="000000" w:sz="4"/>
                <w:bottom w:val="none" w:color="000000" w:sz="4"/>
                <w:right w:val="none" w:color="000000" w:sz="4"/>
                <w:insideH w:val="none"/>
                <w:insideV w:val="none"/>
              </w:tblBorders>
            </w:tblPr>
            <w:tblGrid>
              <w:gridCol w:w="402"/>
              <w:gridCol w:w="1119"/>
              <w:gridCol w:w="572"/>
              <w:gridCol w:w="458"/>
            </w:tblGrid>
            <w:tr>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名称</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备注</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18吨纯电动多功能抑尘车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核心产品</w:t>
                  </w: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18吨功能抑尘车（燃油）</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12吨纯电动洗扫车</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5吨装载机</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1辆</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1"/>
                <w:b/>
                <w:color w:val="0000FF"/>
              </w:rPr>
              <w:t>三、采购标的需满足的技术要求：</w:t>
            </w:r>
          </w:p>
          <w:tbl>
            <w:tblPr>
              <w:tblBorders>
                <w:top w:val="none" w:color="000000" w:sz="4"/>
                <w:left w:val="none" w:color="000000" w:sz="4"/>
                <w:bottom w:val="none" w:color="000000" w:sz="4"/>
                <w:right w:val="none" w:color="000000" w:sz="4"/>
                <w:insideH w:val="none"/>
                <w:insideV w:val="none"/>
              </w:tblBorders>
            </w:tblPr>
            <w:tblGrid>
              <w:gridCol w:w="319"/>
              <w:gridCol w:w="478"/>
              <w:gridCol w:w="319"/>
              <w:gridCol w:w="1436"/>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数量</w:t>
                  </w:r>
                </w:p>
              </w:tc>
              <w:tc>
                <w:tcPr>
                  <w:tcW w:type="dxa" w:w="1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技术参数及要求</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18吨纯电动多功能抑尘车</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1.总质量(kg)≥18000</w:t>
                  </w:r>
                </w:p>
                <w:p>
                  <w:pPr>
                    <w:pStyle w:val="null3"/>
                    <w:spacing w:after="120"/>
                    <w:jc w:val="left"/>
                  </w:pPr>
                  <w:r>
                    <w:rPr>
                      <w:rFonts w:ascii="仿宋_GB2312" w:hAnsi="仿宋_GB2312" w:cs="仿宋_GB2312" w:eastAsia="仿宋_GB2312"/>
                      <w:sz w:val="21"/>
                      <w:color w:val="0000FF"/>
                    </w:rPr>
                    <w:t>▲2.额定载质量(kg)≥7300</w:t>
                  </w:r>
                </w:p>
                <w:p>
                  <w:pPr>
                    <w:pStyle w:val="null3"/>
                    <w:spacing w:after="120"/>
                    <w:jc w:val="left"/>
                  </w:pPr>
                  <w:r>
                    <w:rPr>
                      <w:rFonts w:ascii="仿宋_GB2312" w:hAnsi="仿宋_GB2312" w:cs="仿宋_GB2312" w:eastAsia="仿宋_GB2312"/>
                      <w:sz w:val="21"/>
                      <w:color w:val="0000FF"/>
                    </w:rPr>
                    <w:t>3.外型尺寸：长×宽×高(mm)：9500（±500）×2500（±100）×3200（±150）</w:t>
                  </w:r>
                </w:p>
                <w:p>
                  <w:pPr>
                    <w:pStyle w:val="null3"/>
                    <w:spacing w:after="120"/>
                    <w:jc w:val="left"/>
                  </w:pPr>
                  <w:r>
                    <w:rPr>
                      <w:rFonts w:ascii="仿宋_GB2312" w:hAnsi="仿宋_GB2312" w:cs="仿宋_GB2312" w:eastAsia="仿宋_GB2312"/>
                      <w:sz w:val="21"/>
                      <w:color w:val="0000FF"/>
                    </w:rPr>
                    <w:t>4.轴距(mm)≥5300</w:t>
                  </w:r>
                </w:p>
                <w:p>
                  <w:pPr>
                    <w:pStyle w:val="null3"/>
                    <w:spacing w:after="120"/>
                    <w:jc w:val="left"/>
                  </w:pPr>
                  <w:r>
                    <w:rPr>
                      <w:rFonts w:ascii="仿宋_GB2312" w:hAnsi="仿宋_GB2312" w:cs="仿宋_GB2312" w:eastAsia="仿宋_GB2312"/>
                      <w:sz w:val="21"/>
                      <w:color w:val="0000FF"/>
                    </w:rPr>
                    <w:t>5.前悬后悬(mm)≥1400/1600</w:t>
                  </w:r>
                </w:p>
                <w:p>
                  <w:pPr>
                    <w:pStyle w:val="null3"/>
                    <w:spacing w:after="120"/>
                    <w:jc w:val="left"/>
                  </w:pPr>
                  <w:r>
                    <w:rPr>
                      <w:rFonts w:ascii="仿宋_GB2312" w:hAnsi="仿宋_GB2312" w:cs="仿宋_GB2312" w:eastAsia="仿宋_GB2312"/>
                      <w:sz w:val="21"/>
                      <w:color w:val="0000FF"/>
                    </w:rPr>
                    <w:t>▲6.罐体总容量(m³)≥8</w:t>
                  </w:r>
                </w:p>
                <w:p>
                  <w:pPr>
                    <w:pStyle w:val="null3"/>
                    <w:spacing w:after="120"/>
                    <w:jc w:val="left"/>
                  </w:pPr>
                  <w:r>
                    <w:rPr>
                      <w:rFonts w:ascii="仿宋_GB2312" w:hAnsi="仿宋_GB2312" w:cs="仿宋_GB2312" w:eastAsia="仿宋_GB2312"/>
                      <w:sz w:val="21"/>
                      <w:color w:val="0000FF"/>
                    </w:rPr>
                    <w:t>7.底盘电机峰值功率(kw)≥130</w:t>
                  </w:r>
                </w:p>
                <w:p>
                  <w:pPr>
                    <w:pStyle w:val="null3"/>
                    <w:spacing w:after="120"/>
                    <w:jc w:val="left"/>
                  </w:pPr>
                  <w:r>
                    <w:rPr>
                      <w:rFonts w:ascii="仿宋_GB2312" w:hAnsi="仿宋_GB2312" w:cs="仿宋_GB2312" w:eastAsia="仿宋_GB2312"/>
                      <w:sz w:val="21"/>
                      <w:color w:val="0000FF"/>
                    </w:rPr>
                    <w:t>8.水泵电机额定功率(kW)≥40</w:t>
                  </w:r>
                </w:p>
                <w:p>
                  <w:pPr>
                    <w:pStyle w:val="null3"/>
                    <w:spacing w:after="120"/>
                    <w:jc w:val="left"/>
                  </w:pPr>
                  <w:r>
                    <w:rPr>
                      <w:rFonts w:ascii="仿宋_GB2312" w:hAnsi="仿宋_GB2312" w:cs="仿宋_GB2312" w:eastAsia="仿宋_GB2312"/>
                      <w:sz w:val="21"/>
                      <w:color w:val="0000FF"/>
                    </w:rPr>
                    <w:t>9.电池种类:磷酸铁锂或优于</w:t>
                  </w:r>
                </w:p>
                <w:p>
                  <w:pPr>
                    <w:pStyle w:val="null3"/>
                    <w:spacing w:after="120"/>
                    <w:jc w:val="left"/>
                  </w:pPr>
                  <w:r>
                    <w:rPr>
                      <w:rFonts w:ascii="仿宋_GB2312" w:hAnsi="仿宋_GB2312" w:cs="仿宋_GB2312" w:eastAsia="仿宋_GB2312"/>
                      <w:sz w:val="21"/>
                      <w:color w:val="0000FF"/>
                    </w:rPr>
                    <w:t>10.电池总电量(kwh)≥280</w:t>
                  </w:r>
                </w:p>
                <w:p>
                  <w:pPr>
                    <w:pStyle w:val="null3"/>
                    <w:spacing w:after="120"/>
                    <w:jc w:val="left"/>
                  </w:pPr>
                  <w:r>
                    <w:rPr>
                      <w:rFonts w:ascii="仿宋_GB2312" w:hAnsi="仿宋_GB2312" w:cs="仿宋_GB2312" w:eastAsia="仿宋_GB2312"/>
                      <w:sz w:val="21"/>
                      <w:color w:val="0000FF"/>
                    </w:rPr>
                    <w:t>11.续驶里程(km,等速法)≥400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2</w:t>
                  </w:r>
                  <w:r>
                    <w:rPr>
                      <w:rFonts w:ascii="仿宋_GB2312" w:hAnsi="仿宋_GB2312" w:cs="仿宋_GB2312" w:eastAsia="仿宋_GB2312"/>
                      <w:sz w:val="21"/>
                      <w:color w:val="0000FF"/>
                    </w:rPr>
                    <w:t>.喷雾系统喷雾射程(m)≥100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3</w:t>
                  </w:r>
                  <w:r>
                    <w:rPr>
                      <w:rFonts w:ascii="仿宋_GB2312" w:hAnsi="仿宋_GB2312" w:cs="仿宋_GB2312" w:eastAsia="仿宋_GB2312"/>
                      <w:sz w:val="21"/>
                      <w:color w:val="0000FF"/>
                    </w:rPr>
                    <w:t>.喷雾系统喷雾射高(m)≥35</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4</w:t>
                  </w:r>
                  <w:r>
                    <w:rPr>
                      <w:rFonts w:ascii="仿宋_GB2312" w:hAnsi="仿宋_GB2312" w:cs="仿宋_GB2312" w:eastAsia="仿宋_GB2312"/>
                      <w:sz w:val="21"/>
                      <w:color w:val="0000FF"/>
                    </w:rPr>
                    <w:t>.喷雾俯仰角度(°)≥-10～60</w:t>
                  </w:r>
                </w:p>
                <w:p>
                  <w:pPr>
                    <w:pStyle w:val="null3"/>
                    <w:spacing w:after="1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5</w:t>
                  </w:r>
                  <w:r>
                    <w:rPr>
                      <w:rFonts w:ascii="仿宋_GB2312" w:hAnsi="仿宋_GB2312" w:cs="仿宋_GB2312" w:eastAsia="仿宋_GB2312"/>
                      <w:sz w:val="21"/>
                      <w:color w:val="0000FF"/>
                    </w:rPr>
                    <w:t>.喷雾回转角度(°)≥-90～90</w:t>
                  </w:r>
                </w:p>
                <w:p>
                  <w:pPr>
                    <w:pStyle w:val="null3"/>
                    <w:spacing w:after="120"/>
                    <w:jc w:val="left"/>
                  </w:pPr>
                  <w:r>
                    <w:rPr>
                      <w:rFonts w:ascii="仿宋_GB2312" w:hAnsi="仿宋_GB2312" w:cs="仿宋_GB2312" w:eastAsia="仿宋_GB2312"/>
                      <w:sz w:val="21"/>
                      <w:color w:val="0000FF"/>
                    </w:rPr>
                    <w:t>16</w:t>
                  </w:r>
                  <w:r>
                    <w:rPr>
                      <w:rFonts w:ascii="仿宋_GB2312" w:hAnsi="仿宋_GB2312" w:cs="仿宋_GB2312" w:eastAsia="仿宋_GB2312"/>
                      <w:sz w:val="21"/>
                      <w:color w:val="0000FF"/>
                    </w:rPr>
                    <w:t xml:space="preserve">.水枪射程(m)≥50  </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2</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18吨功能抑尘车（燃油）</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1.外形尺寸(mm)≤9500*2500*3400</w:t>
                  </w:r>
                </w:p>
                <w:p>
                  <w:pPr>
                    <w:pStyle w:val="null3"/>
                    <w:spacing w:after="120"/>
                    <w:jc w:val="left"/>
                  </w:pPr>
                  <w:r>
                    <w:rPr>
                      <w:rFonts w:ascii="仿宋_GB2312" w:hAnsi="仿宋_GB2312" w:cs="仿宋_GB2312" w:eastAsia="仿宋_GB2312"/>
                      <w:sz w:val="21"/>
                      <w:color w:val="0000FF"/>
                    </w:rPr>
                    <w:t>2.总质量(kg)≥18000</w:t>
                  </w:r>
                </w:p>
                <w:p>
                  <w:pPr>
                    <w:pStyle w:val="null3"/>
                    <w:spacing w:after="120"/>
                    <w:jc w:val="left"/>
                  </w:pPr>
                  <w:r>
                    <w:rPr>
                      <w:rFonts w:ascii="仿宋_GB2312" w:hAnsi="仿宋_GB2312" w:cs="仿宋_GB2312" w:eastAsia="仿宋_GB2312"/>
                      <w:sz w:val="21"/>
                      <w:color w:val="0000FF"/>
                    </w:rPr>
                    <w:t>3.额定载质量(kg)≥8300</w:t>
                  </w:r>
                </w:p>
                <w:p>
                  <w:pPr>
                    <w:pStyle w:val="null3"/>
                    <w:spacing w:after="120"/>
                    <w:jc w:val="left"/>
                  </w:pPr>
                  <w:r>
                    <w:rPr>
                      <w:rFonts w:ascii="仿宋_GB2312" w:hAnsi="仿宋_GB2312" w:cs="仿宋_GB2312" w:eastAsia="仿宋_GB2312"/>
                      <w:sz w:val="21"/>
                      <w:color w:val="0000FF"/>
                    </w:rPr>
                    <w:t>4.整备质量(kg)≥9000</w:t>
                  </w:r>
                </w:p>
                <w:p>
                  <w:pPr>
                    <w:pStyle w:val="null3"/>
                    <w:spacing w:after="120"/>
                    <w:jc w:val="left"/>
                  </w:pPr>
                  <w:r>
                    <w:rPr>
                      <w:rFonts w:ascii="仿宋_GB2312" w:hAnsi="仿宋_GB2312" w:cs="仿宋_GB2312" w:eastAsia="仿宋_GB2312"/>
                      <w:sz w:val="21"/>
                      <w:color w:val="0000FF"/>
                    </w:rPr>
                    <w:t>5.轴距(mm)≤4700</w:t>
                  </w:r>
                </w:p>
                <w:p>
                  <w:pPr>
                    <w:pStyle w:val="null3"/>
                    <w:spacing w:after="120"/>
                    <w:jc w:val="left"/>
                  </w:pPr>
                  <w:r>
                    <w:rPr>
                      <w:rFonts w:ascii="仿宋_GB2312" w:hAnsi="仿宋_GB2312" w:cs="仿宋_GB2312" w:eastAsia="仿宋_GB2312"/>
                      <w:sz w:val="21"/>
                      <w:color w:val="0000FF"/>
                    </w:rPr>
                    <w:t>6.前悬/后悬(mm)≤1450/2500</w:t>
                  </w:r>
                </w:p>
                <w:p>
                  <w:pPr>
                    <w:pStyle w:val="null3"/>
                    <w:spacing w:after="120"/>
                    <w:jc w:val="left"/>
                  </w:pPr>
                  <w:r>
                    <w:rPr>
                      <w:rFonts w:ascii="仿宋_GB2312" w:hAnsi="仿宋_GB2312" w:cs="仿宋_GB2312" w:eastAsia="仿宋_GB2312"/>
                      <w:sz w:val="21"/>
                      <w:color w:val="0000FF"/>
                    </w:rPr>
                    <w:t>7.最高车速(km/h)≥85</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.底盘发动机功率(kw)≥160</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.底盘发动机排放标准：国VI</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.副发动机功率(kw)≥95</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.副发动机排放标准：国IV或更优</w:t>
                  </w:r>
                </w:p>
                <w:p>
                  <w:pPr>
                    <w:pStyle w:val="null3"/>
                    <w:spacing w:after="120"/>
                    <w:jc w:val="left"/>
                  </w:pPr>
                  <w:r>
                    <w:rPr>
                      <w:rFonts w:ascii="仿宋_GB2312" w:hAnsi="仿宋_GB2312" w:cs="仿宋_GB2312" w:eastAsia="仿宋_GB2312"/>
                      <w:sz w:val="21"/>
                      <w:color w:val="0000FF"/>
                    </w:rPr>
                    <w:t>12</w:t>
                  </w:r>
                  <w:r>
                    <w:rPr>
                      <w:rFonts w:ascii="仿宋_GB2312" w:hAnsi="仿宋_GB2312" w:cs="仿宋_GB2312" w:eastAsia="仿宋_GB2312"/>
                      <w:sz w:val="21"/>
                      <w:color w:val="0000FF"/>
                    </w:rPr>
                    <w:t>.雾滴颗粒(μm)：50～150</w:t>
                  </w:r>
                </w:p>
                <w:p>
                  <w:pPr>
                    <w:pStyle w:val="null3"/>
                    <w:spacing w:after="120"/>
                    <w:jc w:val="left"/>
                  </w:pPr>
                  <w:r>
                    <w:rPr>
                      <w:rFonts w:ascii="仿宋_GB2312" w:hAnsi="仿宋_GB2312" w:cs="仿宋_GB2312" w:eastAsia="仿宋_GB2312"/>
                      <w:sz w:val="21"/>
                      <w:color w:val="0000FF"/>
                    </w:rPr>
                    <w:t>13</w:t>
                  </w:r>
                  <w:r>
                    <w:rPr>
                      <w:rFonts w:ascii="仿宋_GB2312" w:hAnsi="仿宋_GB2312" w:cs="仿宋_GB2312" w:eastAsia="仿宋_GB2312"/>
                      <w:sz w:val="21"/>
                      <w:color w:val="0000FF"/>
                    </w:rPr>
                    <w:t>.喷嘴数量(个)≥50</w:t>
                  </w:r>
                </w:p>
                <w:p>
                  <w:pPr>
                    <w:pStyle w:val="null3"/>
                    <w:spacing w:after="120"/>
                    <w:jc w:val="left"/>
                  </w:pPr>
                  <w:r>
                    <w:rPr>
                      <w:rFonts w:ascii="仿宋_GB2312" w:hAnsi="仿宋_GB2312" w:cs="仿宋_GB2312" w:eastAsia="仿宋_GB2312"/>
                      <w:sz w:val="21"/>
                      <w:color w:val="0000FF"/>
                    </w:rPr>
                    <w:t>14</w:t>
                  </w:r>
                  <w:r>
                    <w:rPr>
                      <w:rFonts w:ascii="仿宋_GB2312" w:hAnsi="仿宋_GB2312" w:cs="仿宋_GB2312" w:eastAsia="仿宋_GB2312"/>
                      <w:sz w:val="21"/>
                      <w:color w:val="0000FF"/>
                    </w:rPr>
                    <w:t>.喷雾系统喷射俯仰角(°)：-10～60</w:t>
                  </w:r>
                </w:p>
                <w:p>
                  <w:pPr>
                    <w:pStyle w:val="null3"/>
                    <w:spacing w:after="120"/>
                    <w:jc w:val="left"/>
                  </w:pPr>
                  <w:r>
                    <w:rPr>
                      <w:rFonts w:ascii="仿宋_GB2312" w:hAnsi="仿宋_GB2312" w:cs="仿宋_GB2312" w:eastAsia="仿宋_GB2312"/>
                      <w:sz w:val="21"/>
                      <w:color w:val="0000FF"/>
                    </w:rPr>
                    <w:t>15</w:t>
                  </w:r>
                  <w:r>
                    <w:rPr>
                      <w:rFonts w:ascii="仿宋_GB2312" w:hAnsi="仿宋_GB2312" w:cs="仿宋_GB2312" w:eastAsia="仿宋_GB2312"/>
                      <w:sz w:val="21"/>
                      <w:color w:val="0000FF"/>
                    </w:rPr>
                    <w:t>.喷雾系统水平旋转角(°)：-90～90</w:t>
                  </w:r>
                </w:p>
                <w:p>
                  <w:pPr>
                    <w:pStyle w:val="null3"/>
                    <w:spacing w:after="120"/>
                    <w:jc w:val="left"/>
                  </w:pPr>
                  <w:r>
                    <w:rPr>
                      <w:rFonts w:ascii="仿宋_GB2312" w:hAnsi="仿宋_GB2312" w:cs="仿宋_GB2312" w:eastAsia="仿宋_GB2312"/>
                      <w:sz w:val="21"/>
                      <w:color w:val="0000FF"/>
                    </w:rPr>
                    <w:t>16</w:t>
                  </w:r>
                  <w:r>
                    <w:rPr>
                      <w:rFonts w:ascii="仿宋_GB2312" w:hAnsi="仿宋_GB2312" w:cs="仿宋_GB2312" w:eastAsia="仿宋_GB2312"/>
                      <w:sz w:val="21"/>
                      <w:color w:val="0000FF"/>
                    </w:rPr>
                    <w:t>.喷</w:t>
                  </w:r>
                  <w:r>
                    <w:rPr>
                      <w:rFonts w:ascii="仿宋_GB2312" w:hAnsi="仿宋_GB2312" w:cs="仿宋_GB2312" w:eastAsia="仿宋_GB2312"/>
                      <w:sz w:val="21"/>
                      <w:color w:val="0000FF"/>
                    </w:rPr>
                    <w:t>雾射程</w:t>
                  </w:r>
                  <w:r>
                    <w:rPr>
                      <w:rFonts w:ascii="仿宋_GB2312" w:hAnsi="仿宋_GB2312" w:cs="仿宋_GB2312" w:eastAsia="仿宋_GB2312"/>
                      <w:sz w:val="21"/>
                      <w:color w:val="0000FF"/>
                    </w:rPr>
                    <w:t>(m)≥80</w:t>
                  </w:r>
                </w:p>
                <w:p>
                  <w:pPr>
                    <w:pStyle w:val="null3"/>
                    <w:spacing w:after="120"/>
                    <w:jc w:val="left"/>
                  </w:pPr>
                  <w:r>
                    <w:rPr>
                      <w:rFonts w:ascii="仿宋_GB2312" w:hAnsi="仿宋_GB2312" w:cs="仿宋_GB2312" w:eastAsia="仿宋_GB2312"/>
                      <w:sz w:val="21"/>
                      <w:color w:val="0000FF"/>
                    </w:rPr>
                    <w:t>17</w:t>
                  </w:r>
                  <w:r>
                    <w:rPr>
                      <w:rFonts w:ascii="仿宋_GB2312" w:hAnsi="仿宋_GB2312" w:cs="仿宋_GB2312" w:eastAsia="仿宋_GB2312"/>
                      <w:sz w:val="21"/>
                      <w:color w:val="0000FF"/>
                    </w:rPr>
                    <w:t>.喷雾射高(m)≥35</w:t>
                  </w:r>
                </w:p>
                <w:p>
                  <w:pPr>
                    <w:pStyle w:val="null3"/>
                    <w:spacing w:after="120"/>
                    <w:jc w:val="left"/>
                  </w:pPr>
                  <w:r>
                    <w:rPr>
                      <w:rFonts w:ascii="仿宋_GB2312" w:hAnsi="仿宋_GB2312" w:cs="仿宋_GB2312" w:eastAsia="仿宋_GB2312"/>
                      <w:sz w:val="21"/>
                      <w:color w:val="0000FF"/>
                    </w:rPr>
                    <w:t>18</w:t>
                  </w:r>
                  <w:r>
                    <w:rPr>
                      <w:rFonts w:ascii="仿宋_GB2312" w:hAnsi="仿宋_GB2312" w:cs="仿宋_GB2312" w:eastAsia="仿宋_GB2312"/>
                      <w:sz w:val="21"/>
                      <w:color w:val="0000FF"/>
                    </w:rPr>
                    <w:t>.水枪射程（m)≥50</w:t>
                  </w:r>
                </w:p>
                <w:p>
                  <w:pPr>
                    <w:pStyle w:val="null3"/>
                    <w:spacing w:after="120"/>
                    <w:jc w:val="left"/>
                  </w:pPr>
                  <w:r>
                    <w:rPr>
                      <w:rFonts w:ascii="仿宋_GB2312" w:hAnsi="仿宋_GB2312" w:cs="仿宋_GB2312" w:eastAsia="仿宋_GB2312"/>
                      <w:sz w:val="21"/>
                      <w:color w:val="0000FF"/>
                    </w:rPr>
                    <w:t>19</w:t>
                  </w:r>
                  <w:r>
                    <w:rPr>
                      <w:rFonts w:ascii="仿宋_GB2312" w:hAnsi="仿宋_GB2312" w:cs="仿宋_GB2312" w:eastAsia="仿宋_GB2312"/>
                      <w:sz w:val="21"/>
                      <w:color w:val="0000FF"/>
                    </w:rPr>
                    <w:t>.</w:t>
                  </w:r>
                  <w:r>
                    <w:rPr>
                      <w:rFonts w:ascii="仿宋_GB2312" w:hAnsi="仿宋_GB2312" w:cs="仿宋_GB2312" w:eastAsia="仿宋_GB2312"/>
                      <w:sz w:val="21"/>
                      <w:color w:val="0000FF"/>
                    </w:rPr>
                    <w:t>有效</w:t>
                  </w:r>
                  <w:r>
                    <w:rPr>
                      <w:rFonts w:ascii="仿宋_GB2312" w:hAnsi="仿宋_GB2312" w:cs="仿宋_GB2312" w:eastAsia="仿宋_GB2312"/>
                      <w:sz w:val="21"/>
                      <w:color w:val="0000FF"/>
                    </w:rPr>
                    <w:t>容积（</w:t>
                  </w:r>
                  <w:r>
                    <w:rPr>
                      <w:rFonts w:ascii="仿宋_GB2312" w:hAnsi="仿宋_GB2312" w:cs="仿宋_GB2312" w:eastAsia="仿宋_GB2312"/>
                      <w:sz w:val="21"/>
                      <w:color w:val="0000FF"/>
                    </w:rPr>
                    <w:t>m3）≥9</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12吨纯电动洗扫车</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1.外型尺寸：长×宽×高(mm)≥7000×2300×2700</w:t>
                  </w:r>
                </w:p>
                <w:p>
                  <w:pPr>
                    <w:pStyle w:val="null3"/>
                    <w:spacing w:after="120"/>
                    <w:jc w:val="left"/>
                  </w:pPr>
                  <w:r>
                    <w:rPr>
                      <w:rFonts w:ascii="仿宋_GB2312" w:hAnsi="仿宋_GB2312" w:cs="仿宋_GB2312" w:eastAsia="仿宋_GB2312"/>
                      <w:sz w:val="21"/>
                      <w:color w:val="0000FF"/>
                    </w:rPr>
                    <w:t>2.总质量(kg):12400-14000</w:t>
                  </w:r>
                </w:p>
                <w:p>
                  <w:pPr>
                    <w:pStyle w:val="null3"/>
                    <w:spacing w:after="120"/>
                    <w:jc w:val="left"/>
                  </w:pPr>
                  <w:r>
                    <w:rPr>
                      <w:rFonts w:ascii="仿宋_GB2312" w:hAnsi="仿宋_GB2312" w:cs="仿宋_GB2312" w:eastAsia="仿宋_GB2312"/>
                      <w:sz w:val="21"/>
                      <w:color w:val="0000FF"/>
                    </w:rPr>
                    <w:t>3.最高车速(km/h)≥85</w:t>
                  </w:r>
                </w:p>
                <w:p>
                  <w:pPr>
                    <w:pStyle w:val="null3"/>
                    <w:spacing w:after="120"/>
                    <w:jc w:val="left"/>
                  </w:pPr>
                  <w:r>
                    <w:rPr>
                      <w:rFonts w:ascii="仿宋_GB2312" w:hAnsi="仿宋_GB2312" w:cs="仿宋_GB2312" w:eastAsia="仿宋_GB2312"/>
                      <w:sz w:val="21"/>
                      <w:color w:val="0000FF"/>
                    </w:rPr>
                    <w:t>4.额定载质量(kg)≥4000</w:t>
                  </w:r>
                </w:p>
                <w:p>
                  <w:pPr>
                    <w:pStyle w:val="null3"/>
                    <w:spacing w:after="120"/>
                    <w:jc w:val="left"/>
                  </w:pPr>
                  <w:r>
                    <w:rPr>
                      <w:rFonts w:ascii="仿宋_GB2312" w:hAnsi="仿宋_GB2312" w:cs="仿宋_GB2312" w:eastAsia="仿宋_GB2312"/>
                      <w:sz w:val="21"/>
                      <w:color w:val="0000FF"/>
                    </w:rPr>
                    <w:t>5.驾驶室准乘人数(人)≥3</w:t>
                  </w:r>
                </w:p>
                <w:p>
                  <w:pPr>
                    <w:pStyle w:val="null3"/>
                    <w:spacing w:after="120"/>
                    <w:jc w:val="left"/>
                  </w:pPr>
                  <w:r>
                    <w:rPr>
                      <w:rFonts w:ascii="仿宋_GB2312" w:hAnsi="仿宋_GB2312" w:cs="仿宋_GB2312" w:eastAsia="仿宋_GB2312"/>
                      <w:sz w:val="21"/>
                      <w:color w:val="0000FF"/>
                    </w:rPr>
                    <w:t>6.轴距(mm)≥4000</w:t>
                  </w:r>
                </w:p>
                <w:p>
                  <w:pPr>
                    <w:pStyle w:val="null3"/>
                    <w:spacing w:after="120"/>
                    <w:jc w:val="left"/>
                  </w:pPr>
                  <w:r>
                    <w:rPr>
                      <w:rFonts w:ascii="仿宋_GB2312" w:hAnsi="仿宋_GB2312" w:cs="仿宋_GB2312" w:eastAsia="仿宋_GB2312"/>
                      <w:sz w:val="21"/>
                      <w:color w:val="0000FF"/>
                    </w:rPr>
                    <w:t>7.底盘电机峰值功率(kW)≥180</w:t>
                  </w:r>
                </w:p>
                <w:p>
                  <w:pPr>
                    <w:pStyle w:val="null3"/>
                    <w:spacing w:after="120"/>
                    <w:jc w:val="left"/>
                  </w:pPr>
                  <w:r>
                    <w:rPr>
                      <w:rFonts w:ascii="仿宋_GB2312" w:hAnsi="仿宋_GB2312" w:cs="仿宋_GB2312" w:eastAsia="仿宋_GB2312"/>
                      <w:sz w:val="21"/>
                      <w:color w:val="0000FF"/>
                    </w:rPr>
                    <w:t>8.高压水泵额定压力(MPa)≥12</w:t>
                  </w:r>
                </w:p>
                <w:p>
                  <w:pPr>
                    <w:pStyle w:val="null3"/>
                    <w:spacing w:after="120"/>
                    <w:jc w:val="left"/>
                  </w:pPr>
                  <w:r>
                    <w:rPr>
                      <w:rFonts w:ascii="仿宋_GB2312" w:hAnsi="仿宋_GB2312" w:cs="仿宋_GB2312" w:eastAsia="仿宋_GB2312"/>
                      <w:sz w:val="21"/>
                      <w:color w:val="0000FF"/>
                    </w:rPr>
                    <w:t>9.水箱容积(m³)≥6</w:t>
                  </w:r>
                </w:p>
                <w:p>
                  <w:pPr>
                    <w:pStyle w:val="null3"/>
                    <w:spacing w:after="120"/>
                    <w:jc w:val="left"/>
                  </w:pPr>
                  <w:r>
                    <w:rPr>
                      <w:rFonts w:ascii="仿宋_GB2312" w:hAnsi="仿宋_GB2312" w:cs="仿宋_GB2312" w:eastAsia="仿宋_GB2312"/>
                      <w:sz w:val="21"/>
                      <w:color w:val="0000FF"/>
                    </w:rPr>
                    <w:t>10.垃圾箱容积(m³)≥4</w:t>
                  </w:r>
                </w:p>
                <w:p>
                  <w:pPr>
                    <w:pStyle w:val="null3"/>
                    <w:spacing w:after="120"/>
                    <w:jc w:val="left"/>
                  </w:pPr>
                  <w:r>
                    <w:rPr>
                      <w:rFonts w:ascii="仿宋_GB2312" w:hAnsi="仿宋_GB2312" w:cs="仿宋_GB2312" w:eastAsia="仿宋_GB2312"/>
                      <w:sz w:val="21"/>
                      <w:color w:val="0000FF"/>
                    </w:rPr>
                    <w:t>11.洗扫净率(%)≥95</w:t>
                  </w:r>
                </w:p>
                <w:p>
                  <w:pPr>
                    <w:pStyle w:val="null3"/>
                    <w:spacing w:after="120"/>
                    <w:jc w:val="left"/>
                  </w:pPr>
                  <w:r>
                    <w:rPr>
                      <w:rFonts w:ascii="仿宋_GB2312" w:hAnsi="仿宋_GB2312" w:cs="仿宋_GB2312" w:eastAsia="仿宋_GB2312"/>
                      <w:sz w:val="21"/>
                      <w:color w:val="0000FF"/>
                    </w:rPr>
                    <w:t>12.卸料角(°)≥48</w:t>
                  </w:r>
                </w:p>
                <w:p>
                  <w:pPr>
                    <w:pStyle w:val="null3"/>
                    <w:spacing w:after="120"/>
                    <w:jc w:val="left"/>
                  </w:pPr>
                  <w:r>
                    <w:rPr>
                      <w:rFonts w:ascii="仿宋_GB2312" w:hAnsi="仿宋_GB2312" w:cs="仿宋_GB2312" w:eastAsia="仿宋_GB2312"/>
                      <w:sz w:val="21"/>
                      <w:color w:val="0000FF"/>
                    </w:rPr>
                    <w:t>13.电池总储电量(kWh)≥140</w:t>
                  </w:r>
                </w:p>
                <w:p>
                  <w:pPr>
                    <w:pStyle w:val="null3"/>
                    <w:spacing w:after="120"/>
                    <w:jc w:val="left"/>
                  </w:pPr>
                  <w:r>
                    <w:rPr>
                      <w:rFonts w:ascii="仿宋_GB2312" w:hAnsi="仿宋_GB2312" w:cs="仿宋_GB2312" w:eastAsia="仿宋_GB2312"/>
                      <w:sz w:val="21"/>
                      <w:color w:val="0000FF"/>
                    </w:rPr>
                    <w:t>14.风机电机额定功率(kW)≥30</w:t>
                  </w:r>
                </w:p>
                <w:p>
                  <w:pPr>
                    <w:pStyle w:val="null3"/>
                    <w:spacing w:after="120"/>
                    <w:jc w:val="left"/>
                  </w:pPr>
                  <w:r>
                    <w:rPr>
                      <w:rFonts w:ascii="仿宋_GB2312" w:hAnsi="仿宋_GB2312" w:cs="仿宋_GB2312" w:eastAsia="仿宋_GB2312"/>
                      <w:sz w:val="21"/>
                      <w:color w:val="0000FF"/>
                    </w:rPr>
                    <w:t>15.水泵、油泵电机额定功率(kW)≥20</w:t>
                  </w:r>
                </w:p>
                <w:p>
                  <w:pPr>
                    <w:pStyle w:val="null3"/>
                    <w:spacing w:after="120"/>
                    <w:jc w:val="left"/>
                  </w:pPr>
                  <w:r>
                    <w:rPr>
                      <w:rFonts w:ascii="仿宋_GB2312" w:hAnsi="仿宋_GB2312" w:cs="仿宋_GB2312" w:eastAsia="仿宋_GB2312"/>
                      <w:sz w:val="21"/>
                      <w:color w:val="0000FF"/>
                    </w:rPr>
                    <w:t>16.电池材质：磷酸铁锂或优于</w:t>
                  </w:r>
                </w:p>
                <w:p>
                  <w:pPr>
                    <w:pStyle w:val="null3"/>
                    <w:spacing w:after="120"/>
                    <w:jc w:val="left"/>
                  </w:pPr>
                  <w:r>
                    <w:rPr>
                      <w:rFonts w:ascii="仿宋_GB2312" w:hAnsi="仿宋_GB2312" w:cs="仿宋_GB2312" w:eastAsia="仿宋_GB2312"/>
                      <w:sz w:val="21"/>
                      <w:color w:val="0000FF"/>
                    </w:rPr>
                    <w:t>17.续驶里程(km，等速法)≥320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5吨装载机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1辆</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1"/>
                      <w:color w:val="0000FF"/>
                    </w:rPr>
                    <w:t>1.斗容范围(m³)≥2.5</w:t>
                  </w:r>
                </w:p>
                <w:p>
                  <w:pPr>
                    <w:pStyle w:val="null3"/>
                    <w:spacing w:after="120"/>
                    <w:jc w:val="left"/>
                  </w:pPr>
                  <w:r>
                    <w:rPr>
                      <w:rFonts w:ascii="仿宋_GB2312" w:hAnsi="仿宋_GB2312" w:cs="仿宋_GB2312" w:eastAsia="仿宋_GB2312"/>
                      <w:sz w:val="21"/>
                      <w:color w:val="0000FF"/>
                    </w:rPr>
                    <w:t>2.额定载重量(kg)≥5000</w:t>
                  </w:r>
                </w:p>
                <w:p>
                  <w:pPr>
                    <w:pStyle w:val="null3"/>
                    <w:spacing w:after="120"/>
                    <w:jc w:val="left"/>
                  </w:pPr>
                  <w:r>
                    <w:rPr>
                      <w:rFonts w:ascii="仿宋_GB2312" w:hAnsi="仿宋_GB2312" w:cs="仿宋_GB2312" w:eastAsia="仿宋_GB2312"/>
                      <w:sz w:val="21"/>
                      <w:color w:val="0000FF"/>
                    </w:rPr>
                    <w:t>3.整机操作质量(kg)≥16000</w:t>
                  </w:r>
                </w:p>
                <w:p>
                  <w:pPr>
                    <w:pStyle w:val="null3"/>
                    <w:spacing w:after="120"/>
                    <w:jc w:val="left"/>
                  </w:pPr>
                  <w:r>
                    <w:rPr>
                      <w:rFonts w:ascii="仿宋_GB2312" w:hAnsi="仿宋_GB2312" w:cs="仿宋_GB2312" w:eastAsia="仿宋_GB2312"/>
                      <w:sz w:val="21"/>
                      <w:color w:val="0000FF"/>
                    </w:rPr>
                    <w:t>4.牵引力(kN)≥155</w:t>
                  </w:r>
                </w:p>
                <w:p>
                  <w:pPr>
                    <w:pStyle w:val="null3"/>
                    <w:spacing w:after="120"/>
                    <w:jc w:val="left"/>
                  </w:pPr>
                  <w:r>
                    <w:rPr>
                      <w:rFonts w:ascii="仿宋_GB2312" w:hAnsi="仿宋_GB2312" w:cs="仿宋_GB2312" w:eastAsia="仿宋_GB2312"/>
                      <w:sz w:val="21"/>
                      <w:color w:val="0000FF"/>
                    </w:rPr>
                    <w:t>5.最大掘起力(kN)≥170</w:t>
                  </w:r>
                </w:p>
                <w:p>
                  <w:pPr>
                    <w:pStyle w:val="null3"/>
                    <w:spacing w:after="120"/>
                    <w:jc w:val="left"/>
                  </w:pPr>
                  <w:r>
                    <w:rPr>
                      <w:rFonts w:ascii="仿宋_GB2312" w:hAnsi="仿宋_GB2312" w:cs="仿宋_GB2312" w:eastAsia="仿宋_GB2312"/>
                      <w:sz w:val="21"/>
                      <w:color w:val="0000FF"/>
                    </w:rPr>
                    <w:t>6.整机外形尺寸(长x宽x高mm)≤8150x3000x3500</w:t>
                  </w:r>
                </w:p>
                <w:p>
                  <w:pPr>
                    <w:pStyle w:val="null3"/>
                    <w:spacing w:after="1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.轴距(mmn)≤3250</w:t>
                  </w:r>
                </w:p>
                <w:p>
                  <w:pPr>
                    <w:pStyle w:val="null3"/>
                    <w:spacing w:after="1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.轮距(mm)≤2250</w:t>
                  </w:r>
                </w:p>
                <w:p>
                  <w:pPr>
                    <w:pStyle w:val="null3"/>
                    <w:spacing w:after="1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.车体转角(°)±35</w:t>
                  </w:r>
                </w:p>
                <w:p>
                  <w:pPr>
                    <w:pStyle w:val="null3"/>
                    <w:spacing w:after="120"/>
                    <w:jc w:val="left"/>
                  </w:pPr>
                  <w:r>
                    <w:rPr>
                      <w:rFonts w:ascii="仿宋_GB2312" w:hAnsi="仿宋_GB2312" w:cs="仿宋_GB2312" w:eastAsia="仿宋_GB2312"/>
                      <w:sz w:val="21"/>
                      <w:color w:val="0000FF"/>
                    </w:rPr>
                    <w:t>10</w:t>
                  </w:r>
                  <w:r>
                    <w:rPr>
                      <w:rFonts w:ascii="仿宋_GB2312" w:hAnsi="仿宋_GB2312" w:cs="仿宋_GB2312" w:eastAsia="仿宋_GB2312"/>
                      <w:sz w:val="21"/>
                      <w:color w:val="0000FF"/>
                    </w:rPr>
                    <w:t>.发动机功率（kw）≥170</w:t>
                  </w:r>
                </w:p>
                <w:p>
                  <w:pPr>
                    <w:pStyle w:val="null3"/>
                    <w:spacing w:after="120"/>
                    <w:jc w:val="left"/>
                  </w:pPr>
                  <w:r>
                    <w:rPr>
                      <w:rFonts w:ascii="仿宋_GB2312" w:hAnsi="仿宋_GB2312" w:cs="仿宋_GB2312" w:eastAsia="仿宋_GB2312"/>
                      <w:sz w:val="21"/>
                      <w:color w:val="0000FF"/>
                    </w:rPr>
                    <w:t>11</w:t>
                  </w:r>
                  <w:r>
                    <w:rPr>
                      <w:rFonts w:ascii="仿宋_GB2312" w:hAnsi="仿宋_GB2312" w:cs="仿宋_GB2312" w:eastAsia="仿宋_GB2312"/>
                      <w:sz w:val="21"/>
                      <w:color w:val="0000FF"/>
                    </w:rPr>
                    <w:t>.排放标准：柴油；国IV或更优</w:t>
                  </w:r>
                </w:p>
              </w:tc>
            </w:tr>
          </w:tbl>
          <w:p>
            <w:pPr>
              <w:pStyle w:val="null3"/>
            </w:pPr>
            <w:r>
              <w:rPr>
                <w:rFonts w:ascii="仿宋_GB2312" w:hAnsi="仿宋_GB2312" w:cs="仿宋_GB2312" w:eastAsia="仿宋_GB2312"/>
                <w:sz w:val="21"/>
                <w:b/>
                <w:color w:val="0000FF"/>
              </w:rPr>
              <w:t>备注：</w:t>
            </w:r>
            <w:r>
              <w:rPr>
                <w:rFonts w:ascii="仿宋_GB2312" w:hAnsi="仿宋_GB2312" w:cs="仿宋_GB2312" w:eastAsia="仿宋_GB2312"/>
                <w:sz w:val="21"/>
                <w:b/>
                <w:color w:val="0000FF"/>
              </w:rPr>
              <w:t>1、本项目核心产品为：18吨纯电动多功能抑尘车。如通过初审的有效供应商拟供核心产品的品牌相同，按照《政府采购货物和服务招标投标管理办法》（第87号令）规定，提供相同核心品牌产品且通过资格审查、符合性审查的不同供应商参加同一合同项下投标的，按一家供应商计算，评审后得分最高的同品牌供应商获得中标人推荐资格；评审得分相同的，以“培训及售后服务”得分高的优先，其他同品牌供应商不作为中标候选人。</w:t>
            </w:r>
          </w:p>
          <w:p>
            <w:pPr>
              <w:pStyle w:val="null3"/>
            </w:pPr>
            <w:r>
              <w:rPr>
                <w:rFonts w:ascii="仿宋_GB2312" w:hAnsi="仿宋_GB2312" w:cs="仿宋_GB2312" w:eastAsia="仿宋_GB2312"/>
                <w:sz w:val="21"/>
                <w:b/>
                <w:color w:val="0000FF"/>
              </w:rPr>
              <w:t>2、本项目所涉及的所有车辆报价须包含车辆购置税、交强险及车辆上户的所有费用，供应商自行考虑计入投标报价中，采购人不在单独支付。</w:t>
            </w:r>
          </w:p>
          <w:p>
            <w:pPr>
              <w:pStyle w:val="null3"/>
            </w:pPr>
            <w:r>
              <w:rPr>
                <w:rFonts w:ascii="仿宋_GB2312" w:hAnsi="仿宋_GB2312" w:cs="仿宋_GB2312" w:eastAsia="仿宋_GB2312"/>
                <w:sz w:val="21"/>
                <w:b/>
                <w:color w:val="0000FF"/>
              </w:rPr>
              <w:t>四、采购标的需满足的其他要求：</w:t>
            </w:r>
          </w:p>
          <w:tbl>
            <w:tblPr>
              <w:tblBorders>
                <w:top w:val="none" w:color="000000" w:sz="4"/>
                <w:left w:val="none" w:color="000000" w:sz="4"/>
                <w:bottom w:val="none" w:color="000000" w:sz="4"/>
                <w:right w:val="none" w:color="000000" w:sz="4"/>
                <w:insideH w:val="none"/>
                <w:insideV w:val="none"/>
              </w:tblBorders>
            </w:tblPr>
            <w:tblGrid>
              <w:gridCol w:w="356"/>
              <w:gridCol w:w="535"/>
              <w:gridCol w:w="1660"/>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序号</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名称</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其他要求</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18吨纯电动多功能抑尘车</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）风机转速需分为</w:t>
                  </w:r>
                  <w:r>
                    <w:rPr>
                      <w:rFonts w:ascii="仿宋_GB2312" w:hAnsi="仿宋_GB2312" w:cs="仿宋_GB2312" w:eastAsia="仿宋_GB2312"/>
                      <w:sz w:val="21"/>
                      <w:color w:val="0000FF"/>
                    </w:rPr>
                    <w:t>“标准”、“强力”两种或更多模式。</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）车辆需配有鸭嘴、圆锥冲洗喷嘴、后洒水、后浇灌、水枪功能。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）需通过单独的电机带动低压水泵，不通过底盘取力，作业速度不受限制。</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）驾驶室内需设置有集成式控制盒和显示屏，可控制车辆全部作业功能，并需在后作业平台附近设置控制面板，用于控制风炮作业的部分动作。</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）需设置有多重安全防护装置与报警系统，水箱水位、上装电机转速可在显示屏上集中显示信息，并可显示故障和及时预</w:t>
                  </w:r>
                  <w:r>
                    <w:rPr>
                      <w:rFonts w:ascii="仿宋_GB2312" w:hAnsi="仿宋_GB2312" w:cs="仿宋_GB2312" w:eastAsia="仿宋_GB2312"/>
                      <w:sz w:val="21"/>
                      <w:color w:val="0000FF"/>
                    </w:rPr>
                    <w:t>警。</w:t>
                  </w:r>
                  <w:r>
                    <w:rPr>
                      <w:rFonts w:ascii="仿宋_GB2312" w:hAnsi="仿宋_GB2312" w:cs="仿宋_GB2312" w:eastAsia="仿宋_GB2312"/>
                      <w:sz w:val="19"/>
                    </w:rPr>
                    <w:t xml:space="preserve"> </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）车辆后部需装有</w:t>
                  </w:r>
                  <w:r>
                    <w:rPr>
                      <w:rFonts w:ascii="仿宋_GB2312" w:hAnsi="仿宋_GB2312" w:cs="仿宋_GB2312" w:eastAsia="仿宋_GB2312"/>
                      <w:sz w:val="21"/>
                      <w:color w:val="0000FF"/>
                    </w:rPr>
                    <w:t>摄相头，驾驶室内装有彩色显示屏。风炮作业时，可以在驾驶室内监视风炮的作业状态，避免发生碰撞。</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）需设置有警示灯、安全标贴、作业音乐等。</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2</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18吨功能抑尘车（燃油）</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）风炮的风机转速需可无级调节，满足不同喷雾距离的需要。</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）车辆需设置有多重安全防护装置与报警系统，可实时监控副发工作状况、风机转速，在控制盒上集中显示信息，故障及</w:t>
                  </w:r>
                  <w:r>
                    <w:rPr>
                      <w:rFonts w:ascii="仿宋_GB2312" w:hAnsi="仿宋_GB2312" w:cs="仿宋_GB2312" w:eastAsia="仿宋_GB2312"/>
                      <w:sz w:val="21"/>
                      <w:color w:val="0000FF"/>
                    </w:rPr>
                    <w:t>时预警。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）车辆需可多点操作，驾驶员需可在驾驶室内的控制盒就能控制车辆全部作业功能，需要在驾驶室外进行部分作业控制时可切换到车外的总线面板进行操作。</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）车辆需设置有摄相头和驾驶室内彩色显示屏，方便操作人员实时监控风炮状态，避免发生碰撞。</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）车辆需具有警示灯、安全标贴、作业音乐等结构功能。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）车辆在需配置高性能喷雾系统的同时，</w:t>
                  </w:r>
                  <w:r>
                    <w:rPr>
                      <w:rFonts w:ascii="仿宋_GB2312" w:hAnsi="仿宋_GB2312" w:cs="仿宋_GB2312" w:eastAsia="仿宋_GB2312"/>
                      <w:sz w:val="21"/>
                      <w:color w:val="0000FF"/>
                    </w:rPr>
                    <w:t>还配有低压清洗功能，包括圆锥喷嘴对冲、后洒水喷嘴、后作业水炮。</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）副发动机需通过弹性连轴器将液压油泵与发动机输出轴直接连接。</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3</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12吨纯电动洗扫车</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1）需配有</w:t>
                  </w:r>
                  <w:r>
                    <w:rPr>
                      <w:rFonts w:ascii="仿宋_GB2312" w:hAnsi="仿宋_GB2312" w:cs="仿宋_GB2312" w:eastAsia="仿宋_GB2312"/>
                      <w:sz w:val="21"/>
                      <w:color w:val="0000FF"/>
                    </w:rPr>
                    <w:t>独立的风机电机。</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2）扫盘需具有防撞避障和自动复位功能。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3）左、右高压侧喷杆与吸嘴需采用“V”型布置，气控操作收放，可调整“V”形角度及高压水喷嘴角度。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4）吸嘴总宽需不小于1800mm，吸污宽度不小于1700mm。</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）垃圾箱需采用不锈钢板焊接而成。</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w:t>
                  </w:r>
                  <w:r>
                    <w:rPr>
                      <w:rFonts w:ascii="仿宋_GB2312" w:hAnsi="仿宋_GB2312" w:cs="仿宋_GB2312" w:eastAsia="仿宋_GB2312"/>
                      <w:sz w:val="21"/>
                      <w:color w:val="0000FF"/>
                    </w:rPr>
                    <w:t>）清水箱需设置低水位传感器，垃圾箱设置高水位传感器，驾驶室内有语音报警。</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）操作系统需设置全扫、左扫、右扫，全洗扫、左洗扫、右洗扫、全洗、左洗、右洗、纯吸共</w:t>
                  </w:r>
                  <w:r>
                    <w:rPr>
                      <w:rFonts w:ascii="仿宋_GB2312" w:hAnsi="仿宋_GB2312" w:cs="仿宋_GB2312" w:eastAsia="仿宋_GB2312"/>
                      <w:sz w:val="21"/>
                      <w:color w:val="0000FF"/>
                    </w:rPr>
                    <w:t>10种或更多作业模式。作业模式选定后，可实现一键起动或一键停机。</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8</w:t>
                  </w:r>
                  <w:r>
                    <w:rPr>
                      <w:rFonts w:ascii="仿宋_GB2312" w:hAnsi="仿宋_GB2312" w:cs="仿宋_GB2312" w:eastAsia="仿宋_GB2312"/>
                      <w:sz w:val="21"/>
                      <w:color w:val="0000FF"/>
                    </w:rPr>
                    <w:t>）需配有自动吹水装置。</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4</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color w:val="0000FF"/>
                    </w:rPr>
                    <w:t>5吨装载机</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color w:val="0000FF"/>
                    </w:rPr>
                    <w:t>1.性能要求：</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1）前后车架、动臂和摇臂全新升级，强度高、承载力大，抗扭力和耐用性大幅增强。大跨距、长轴距对中布置结构，承载能力更强，整机稳定性更好，使用寿命更长。</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）加强型重载型驱动桥，关键零部件优化设计，强度更高，承载性能更强，使用寿命更长。</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）全液压负荷传感转向系统及双泵合流工作液压系统的应用，举臂更快、起力更大、转向更轻，而且更节能。</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）配备多功率省油开关，三级功率模式，满足不同工况，节油高效</w:t>
                  </w:r>
                </w:p>
                <w:p>
                  <w:pPr>
                    <w:pStyle w:val="null3"/>
                    <w:spacing w:after="1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）配备智能管理系统，用户可通过手机、电脑等设备，实时掌控设备的各项运营数据、状况，进行数据分析。用户可对设备进行科学、高效管理，提高设备使用率。</w:t>
                  </w:r>
                </w:p>
              </w:tc>
            </w:tr>
          </w:tbl>
          <w:p>
            <w:pPr>
              <w:pStyle w:val="null3"/>
            </w:pPr>
            <w:r>
              <w:rPr>
                <w:rFonts w:ascii="仿宋_GB2312" w:hAnsi="仿宋_GB2312" w:cs="仿宋_GB2312" w:eastAsia="仿宋_GB2312"/>
                <w:sz w:val="21"/>
                <w:b/>
                <w:color w:val="0000FF"/>
              </w:rPr>
              <w:t>五、采购标的需满足的商务要求：</w:t>
            </w:r>
          </w:p>
          <w:p>
            <w:pPr>
              <w:pStyle w:val="null3"/>
              <w:ind w:right="90"/>
              <w:jc w:val="left"/>
            </w:pPr>
            <w:r>
              <w:rPr>
                <w:rFonts w:ascii="仿宋_GB2312" w:hAnsi="仿宋_GB2312" w:cs="仿宋_GB2312" w:eastAsia="仿宋_GB2312"/>
                <w:sz w:val="21"/>
                <w:color w:val="0000FF"/>
              </w:rPr>
              <w:t>1.交货时间：合同签订后45个日历天。</w:t>
            </w:r>
          </w:p>
          <w:p>
            <w:pPr>
              <w:pStyle w:val="null3"/>
              <w:jc w:val="left"/>
            </w:pPr>
            <w:r>
              <w:rPr>
                <w:rFonts w:ascii="仿宋_GB2312" w:hAnsi="仿宋_GB2312" w:cs="仿宋_GB2312" w:eastAsia="仿宋_GB2312"/>
                <w:sz w:val="21"/>
                <w:color w:val="0000FF"/>
              </w:rPr>
              <w:t>2.付款方式：</w:t>
            </w:r>
          </w:p>
          <w:p>
            <w:pPr>
              <w:pStyle w:val="null3"/>
              <w:jc w:val="left"/>
            </w:pPr>
            <w:r>
              <w:rPr>
                <w:rFonts w:ascii="仿宋_GB2312" w:hAnsi="仿宋_GB2312" w:cs="仿宋_GB2312" w:eastAsia="仿宋_GB2312"/>
                <w:sz w:val="21"/>
                <w:color w:val="0000FF"/>
              </w:rPr>
              <w:t>合同签订后，全部货物按招标文件交货时间约定交付使用。预付款为合同价款</w:t>
            </w:r>
            <w:r>
              <w:rPr>
                <w:rFonts w:ascii="仿宋_GB2312" w:hAnsi="仿宋_GB2312" w:cs="仿宋_GB2312" w:eastAsia="仿宋_GB2312"/>
                <w:sz w:val="21"/>
                <w:color w:val="0000FF"/>
              </w:rPr>
              <w:t>30%，货到现场甲方签收付合同价款40%，验收合格付合同价款30%。</w:t>
            </w:r>
          </w:p>
          <w:p>
            <w:pPr>
              <w:pStyle w:val="null3"/>
              <w:jc w:val="left"/>
            </w:pPr>
            <w:r>
              <w:rPr>
                <w:rFonts w:ascii="仿宋_GB2312" w:hAnsi="仿宋_GB2312" w:cs="仿宋_GB2312" w:eastAsia="仿宋_GB2312"/>
                <w:sz w:val="21"/>
                <w:color w:val="0000FF"/>
              </w:rPr>
              <w:t>3.质保期：整车质保两年，三电系统质保8年或40万公里。</w:t>
            </w:r>
          </w:p>
          <w:p>
            <w:pPr>
              <w:pStyle w:val="null3"/>
              <w:jc w:val="left"/>
            </w:pPr>
            <w:r>
              <w:rPr>
                <w:rFonts w:ascii="仿宋_GB2312" w:hAnsi="仿宋_GB2312" w:cs="仿宋_GB2312" w:eastAsia="仿宋_GB2312"/>
                <w:sz w:val="21"/>
                <w:color w:val="0000FF"/>
              </w:rPr>
              <w:t>4.质量标准：符合国家及行业质量验收合格标准。</w:t>
            </w:r>
          </w:p>
          <w:p>
            <w:pPr>
              <w:pStyle w:val="null3"/>
            </w:pPr>
            <w:r>
              <w:rPr>
                <w:rFonts w:ascii="仿宋_GB2312" w:hAnsi="仿宋_GB2312" w:cs="仿宋_GB2312" w:eastAsia="仿宋_GB2312"/>
                <w:sz w:val="21"/>
                <w:color w:val="0000FF"/>
              </w:rPr>
              <w:t>5.交货地点：勉县园林环卫服务中心。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勉县园林环卫服务中心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货到现场甲方签收后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1、甲方须在乙方提出书面验收申请之日起 10日内，组织验收工作。验收由甲方指定单位及人员进行验收，验收合格后出具书面验收合格证明，作为对产品的最终认可。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整车质保两年，三电系统质保8年或40万公里。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 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拟供车辆资料</w:t>
            </w:r>
          </w:p>
        </w:tc>
        <w:tc>
          <w:tcPr>
            <w:tcW w:type="dxa" w:w="3322"/>
          </w:tcPr>
          <w:p>
            <w:pPr>
              <w:pStyle w:val="null3"/>
            </w:pPr>
            <w:r>
              <w:rPr>
                <w:rFonts w:ascii="仿宋_GB2312" w:hAnsi="仿宋_GB2312" w:cs="仿宋_GB2312" w:eastAsia="仿宋_GB2312"/>
              </w:rPr>
              <w:t>供应商拟供车型必须在国家工业和信息化部发布的《车辆生产企业及产品》公告内；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供应商不得为“信用中国” 网站（www.creditchi na.gov.cn）中列入重大税收违法失信主体的供应商；不得为“中国执行信息公开网”（http://z xgk.court.gov.cn）中列入失信被执行人名单的供应商；不得为“中国政府采购网”（www.cc gp.gov.cn）政府采购严重违法失信行为记录名 单中被财政部门禁止参加政府采购活动的供应商； （注：以投标文件中提供的承诺书为准）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 （注：以投标文件中提供的声明为准）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且与营业执照或其他证明资料上信息一致。法定代表人授权代表参加投标的，须出具法定代表人授权书及授权代表身份证；自然人参加投标的须提供身份证复印件</w:t>
            </w:r>
          </w:p>
        </w:tc>
        <w:tc>
          <w:tcPr>
            <w:tcW w:type="dxa" w:w="1661"/>
          </w:tcPr>
          <w:p>
            <w:pPr>
              <w:pStyle w:val="null3"/>
            </w:pPr>
            <w:r>
              <w:rPr>
                <w:rFonts w:ascii="仿宋_GB2312" w:hAnsi="仿宋_GB2312" w:cs="仿宋_GB2312" w:eastAsia="仿宋_GB2312"/>
              </w:rPr>
              <w:t>法定代表人（负责人）身份证明及法定代表人（负责人）授权委托书.docx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按招标文件要求签署、加盖印章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报价唯一，且未超过采购包最高限价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 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主要条款响应</w:t>
            </w:r>
          </w:p>
        </w:tc>
        <w:tc>
          <w:tcPr>
            <w:tcW w:type="dxa" w:w="3322"/>
          </w:tcPr>
          <w:p>
            <w:pPr>
              <w:pStyle w:val="null3"/>
            </w:pPr>
            <w:r>
              <w:rPr>
                <w:rFonts w:ascii="仿宋_GB2312" w:hAnsi="仿宋_GB2312" w:cs="仿宋_GB2312" w:eastAsia="仿宋_GB2312"/>
              </w:rPr>
              <w:t>对“交货期、交货地点、质保期、付款方式”等实质性内容进行响应且未附加采购人难以接受的条件</w:t>
            </w:r>
          </w:p>
        </w:tc>
        <w:tc>
          <w:tcPr>
            <w:tcW w:type="dxa" w:w="1661"/>
          </w:tcPr>
          <w:p>
            <w:pPr>
              <w:pStyle w:val="null3"/>
            </w:pPr>
            <w:r>
              <w:rPr>
                <w:rFonts w:ascii="仿宋_GB2312" w:hAnsi="仿宋_GB2312" w:cs="仿宋_GB2312" w:eastAsia="仿宋_GB2312"/>
              </w:rPr>
              <w:t>商务应答表.docx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招标文件“第三章 招标项目技术、服务、商务及其他要求”“3.3技术要求”中“三、采购标的需满足的技术要求”共63项技术参数及要求，其中“▲”项为重要技术参数及要求，其他的为一般技术参数及要求。（1）“▲”项技术参数及要求共3项，供应商拟供产品的技术参数每有一项完全满足得3分，共9分；（2）一般技术参数及要求共60项，供应商拟供产品的技术参数每有一项完全满足得0.4分，共24分。 备注：供应商须提供拟供产品相关技术参数证明材料，包括但不限于产品介绍或说明书或检测报告等，供应商自行承担因未提供拟供产品技术参数证明材料导致技术参数被视为负偏离的风险。</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对供应商针对本项目提供的实施方案进行评审，包括但不限于以下内容： （1）供货组织安排、安装、检测、调试措施；（2）项目实施步骤、进度计划和保证措施；（3）安全控制方案；（4）组织机构人员配置、协调能力；（5）验收方案等。 以上5条内容，每条内容均完整的，得满分15分，每有一条内容缺项的，扣3分；每条内容中每有一处内容不完整或有缺陷或与项目不匹配的，扣1分，扣完为止。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对供应商针对本项目提供的培训及售后服务方案进行评审，包括但不限于以下内容: （1）质保期内及质保期满之后产品保修内容及范围；（2）售后流程及培训方案；（3）售后服务时间；（4）备品、配件保障措施；（5）售后巡查及维护安排；（6）售后服务监督与奖惩；（7）售后服务管理；（8）客诉渠道、承诺及保障措施。 以上8条内容，每条内容均完整的，得满分16分，每有一条内容缺项的，扣2分；每条内容中每有一处内容不完整或有缺陷或与项目不匹配的，扣1分，扣完为止。 备注: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供应商自2022年1月1日至投标截止时间所具有类似项目业绩，每提供1份计3分，满分6分。 注：以供应商投标文件中所附加盖公章的项目合同复印件为准，业绩时间以合同显示时间为准，否则不得分。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满足招标文件要求且价格最低的价格为评标基准价，其价格分为满分。其他供应商的价格分统 一按照下列公式计算：投标报价得分=（评标基准价/投标报价） ×分值； 注：1、享受价格扣除的：供应商参评价格=投标报价*（1-价格扣除） 2、不享受价格扣除的：供应商参评价格=投标报价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详见附件：法定代表人（负责人）身份证明及法定代表人（负责人）授权委托书.docx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详见附件：类似项目情况表.docx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