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版本号：ZC2025-HW-24320251216002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勉县城镇生活垃圾转运处理设施设备更新项目（一期）江北生活垃圾压缩转运站成套压缩设备采购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ZC2025-HW-243</w:t>
      </w:r>
      <w:r>
        <w:br/>
      </w:r>
      <w:r>
        <w:br/>
      </w:r>
      <w:r>
        <w:br/>
      </w:r>
    </w:p>
    <w:p>
      <w:pPr>
        <w:pStyle w:val="null3"/>
        <w:jc w:val="center"/>
        <w:outlineLvl w:val="2"/>
      </w:pPr>
      <w:r>
        <w:rPr>
          <w:rFonts w:ascii="仿宋_GB2312" w:hAnsi="仿宋_GB2312" w:cs="仿宋_GB2312" w:eastAsia="仿宋_GB2312"/>
          <w:sz w:val="28"/>
          <w:b/>
        </w:rPr>
        <w:t>勉县园林环卫服务中心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勉县园林环卫服务中心</w:t>
      </w:r>
      <w:r>
        <w:rPr>
          <w:rFonts w:ascii="仿宋_GB2312" w:hAnsi="仿宋_GB2312" w:cs="仿宋_GB2312" w:eastAsia="仿宋_GB2312"/>
        </w:rPr>
        <w:t>委托，拟对</w:t>
      </w:r>
      <w:r>
        <w:rPr>
          <w:rFonts w:ascii="仿宋_GB2312" w:hAnsi="仿宋_GB2312" w:cs="仿宋_GB2312" w:eastAsia="仿宋_GB2312"/>
        </w:rPr>
        <w:t>勉县城镇生活垃圾转运处理设施设备更新项目（一期）江北生活垃圾压缩转运站成套压缩设备采购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ZC2025-HW-243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勉县城镇生活垃圾转运处理设施设备更新项目（一期）江北生活垃圾压缩转运站成套压缩设备采购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勉县城镇生活垃圾转运处理设施设备更新项目（一期）江北生活垃圾压缩转运站成套压缩设备采购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2、企业信用：供应商不得为“信用中国”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p>
      <w:pPr>
        <w:pStyle w:val="null3"/>
      </w:pPr>
      <w:r>
        <w:rPr>
          <w:rFonts w:ascii="仿宋_GB2312" w:hAnsi="仿宋_GB2312" w:cs="仿宋_GB2312" w:eastAsia="仿宋_GB2312"/>
        </w:rPr>
        <w:t>3、非联合体投标：本项目不接受联合体投标；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勉县园林环卫服务中心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勉县天荡山路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税利鹤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3222900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西安市高新区高新三路9号新时代大厦西四楼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宋扬、毛鑫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采购包1：5,072,000.00元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勉县园林环卫服务中心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勉县园林环卫服务中心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勉县园林环卫服务中心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联系人：宋扬、毛鑫</w:t>
      </w:r>
    </w:p>
    <w:p>
      <w:pPr>
        <w:pStyle w:val="null3"/>
      </w:pPr>
      <w:r>
        <w:rPr>
          <w:rFonts w:ascii="仿宋_GB2312" w:hAnsi="仿宋_GB2312" w:cs="仿宋_GB2312" w:eastAsia="仿宋_GB2312"/>
        </w:rPr>
        <w:t>联系电话：029-88811050</w:t>
      </w:r>
    </w:p>
    <w:p>
      <w:pPr>
        <w:pStyle w:val="null3"/>
      </w:pPr>
      <w:r>
        <w:rPr>
          <w:rFonts w:ascii="仿宋_GB2312" w:hAnsi="仿宋_GB2312" w:cs="仿宋_GB2312" w:eastAsia="仿宋_GB2312"/>
        </w:rPr>
        <w:t>地址：西安市高新区高新三路9号新时代大厦西四楼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勉县城镇生活垃圾转运处理设施设备更新项目（一期）江北生活垃圾压缩转运站成套压缩设备采购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5,072,000.00</w:t>
      </w:r>
    </w:p>
    <w:p>
      <w:pPr>
        <w:pStyle w:val="null3"/>
      </w:pPr>
      <w:r>
        <w:rPr>
          <w:rFonts w:ascii="仿宋_GB2312" w:hAnsi="仿宋_GB2312" w:cs="仿宋_GB2312" w:eastAsia="仿宋_GB2312"/>
        </w:rPr>
        <w:t>采购包最高限价（元）: 5,072,000.00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压缩转运站成套压缩设备</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5,072,000.00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标的名称：压缩转运站成套压缩设备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一、项目概况：</w:t>
            </w:r>
          </w:p>
          <w:p>
            <w:pPr>
              <w:pStyle w:val="null3"/>
              <w:ind w:firstLine="420"/>
            </w:pPr>
            <w:r>
              <w:rPr>
                <w:rFonts w:ascii="仿宋_GB2312" w:hAnsi="仿宋_GB2312" w:cs="仿宋_GB2312" w:eastAsia="仿宋_GB2312"/>
                <w:sz w:val="21"/>
                <w:color w:val="0000FF"/>
              </w:rPr>
              <w:t>勉县城镇生活垃圾转运处理设施设备更新项目（一期）江北生活垃圾压缩转运站成套压缩设备采购</w:t>
            </w:r>
          </w:p>
          <w:p>
            <w:pPr>
              <w:pStyle w:val="null3"/>
            </w:pPr>
            <w:r>
              <w:rPr>
                <w:rFonts w:ascii="仿宋_GB2312" w:hAnsi="仿宋_GB2312" w:cs="仿宋_GB2312" w:eastAsia="仿宋_GB2312"/>
                <w:sz w:val="21"/>
                <w:b/>
                <w:color w:val="0000FF"/>
              </w:rPr>
              <w:t>二、采购标的：</w:t>
            </w:r>
          </w:p>
          <w:tbl>
            <w:tblPr>
              <w:tblBorders>
                <w:top w:val="none" w:color="000000" w:sz="4"/>
                <w:left w:val="none" w:color="000000" w:sz="4"/>
                <w:bottom w:val="none" w:color="000000" w:sz="4"/>
                <w:right w:val="none" w:color="000000" w:sz="4"/>
                <w:insideH w:val="none"/>
                <w:insideV w:val="none"/>
              </w:tblBorders>
            </w:tblPr>
            <w:tblGrid>
              <w:gridCol w:w="309"/>
              <w:gridCol w:w="1167"/>
              <w:gridCol w:w="597"/>
              <w:gridCol w:w="478"/>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水平直压式压缩机</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核心产品</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移箱平台</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垃圾箱</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4个</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中央控制系统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视频监控</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交通指挥系统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语音广播系统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大屏显示系统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负压抽风除臭系统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料口喷淋降尘系统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空间喷淋除臭系统</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快速卷帘门</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风幕机</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高压清洗机</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25吨车厢可卸式垃圾车</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2辆</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color w:val="0000FF"/>
              </w:rPr>
              <w:t>三</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采购标的需满足的技术要求</w:t>
            </w:r>
            <w:r>
              <w:rPr>
                <w:rFonts w:ascii="仿宋_GB2312" w:hAnsi="仿宋_GB2312" w:cs="仿宋_GB2312" w:eastAsia="仿宋_GB2312"/>
                <w:sz w:val="21"/>
                <w:b/>
                <w:color w:val="0000FF"/>
              </w:rPr>
              <w:t>：</w:t>
            </w:r>
          </w:p>
          <w:tbl>
            <w:tblPr>
              <w:tblBorders>
                <w:top w:val="none" w:color="000000" w:sz="4"/>
                <w:left w:val="none" w:color="000000" w:sz="4"/>
                <w:bottom w:val="none" w:color="000000" w:sz="4"/>
                <w:right w:val="none" w:color="000000" w:sz="4"/>
                <w:insideH w:val="none"/>
                <w:insideV w:val="none"/>
              </w:tblBorders>
            </w:tblPr>
            <w:tblGrid>
              <w:gridCol w:w="143"/>
              <w:gridCol w:w="380"/>
              <w:gridCol w:w="215"/>
              <w:gridCol w:w="1813"/>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数量</w:t>
                  </w:r>
                </w:p>
              </w:tc>
              <w:tc>
                <w:tcPr>
                  <w:tcW w:type="dxa" w:w="1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技术参数及要求</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水平直压式压缩机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推拉箱装置应采用单油缸驱动，推拉钩应直接作用在垃圾箱体上，中间无任何辅助机构，实现机箱对接与分离。</w:t>
                  </w:r>
                </w:p>
                <w:p>
                  <w:pPr>
                    <w:pStyle w:val="null3"/>
                    <w:jc w:val="left"/>
                  </w:pPr>
                  <w:r>
                    <w:rPr>
                      <w:rFonts w:ascii="仿宋_GB2312" w:hAnsi="仿宋_GB2312" w:cs="仿宋_GB2312" w:eastAsia="仿宋_GB2312"/>
                      <w:sz w:val="21"/>
                      <w:color w:val="0000FF"/>
                    </w:rPr>
                    <w:t>2.</w:t>
                  </w:r>
                  <w:r>
                    <w:rPr>
                      <w:rFonts w:ascii="仿宋_GB2312" w:hAnsi="仿宋_GB2312" w:cs="仿宋_GB2312" w:eastAsia="仿宋_GB2312"/>
                      <w:sz w:val="21"/>
                      <w:color w:val="0000FF"/>
                    </w:rPr>
                    <w:t>机箱分离后（推拉钩完全伸出）机、箱距离</w:t>
                  </w:r>
                  <w:r>
                    <w:rPr>
                      <w:rFonts w:ascii="仿宋_GB2312" w:hAnsi="仿宋_GB2312" w:cs="仿宋_GB2312" w:eastAsia="仿宋_GB2312"/>
                      <w:sz w:val="21"/>
                      <w:color w:val="0000FF"/>
                    </w:rPr>
                    <w:t>≤400mm。</w:t>
                  </w:r>
                </w:p>
                <w:p>
                  <w:pPr>
                    <w:pStyle w:val="null3"/>
                    <w:jc w:val="left"/>
                  </w:pPr>
                  <w:r>
                    <w:rPr>
                      <w:rFonts w:ascii="仿宋_GB2312" w:hAnsi="仿宋_GB2312" w:cs="仿宋_GB2312" w:eastAsia="仿宋_GB2312"/>
                      <w:sz w:val="21"/>
                      <w:color w:val="0000FF"/>
                    </w:rPr>
                    <w:t>3.</w:t>
                  </w:r>
                  <w:r>
                    <w:rPr>
                      <w:rFonts w:ascii="仿宋_GB2312" w:hAnsi="仿宋_GB2312" w:cs="仿宋_GB2312" w:eastAsia="仿宋_GB2312"/>
                      <w:sz w:val="21"/>
                      <w:color w:val="0000FF"/>
                    </w:rPr>
                    <w:t>锁紧装置</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采用连杆机构，由油缸驱动，</w:t>
                  </w:r>
                  <w:r>
                    <w:rPr>
                      <w:rFonts w:ascii="仿宋_GB2312" w:hAnsi="仿宋_GB2312" w:cs="仿宋_GB2312" w:eastAsia="仿宋_GB2312"/>
                      <w:sz w:val="21"/>
                      <w:color w:val="0000FF"/>
                    </w:rPr>
                    <w:t>需</w:t>
                  </w:r>
                  <w:r>
                    <w:rPr>
                      <w:rFonts w:ascii="仿宋_GB2312" w:hAnsi="仿宋_GB2312" w:cs="仿宋_GB2312" w:eastAsia="仿宋_GB2312"/>
                      <w:sz w:val="21"/>
                      <w:color w:val="0000FF"/>
                    </w:rPr>
                    <w:t>具有水平移动拉紧、松开箱体的功能，机箱锁紧</w:t>
                  </w:r>
                  <w:r>
                    <w:rPr>
                      <w:rFonts w:ascii="仿宋_GB2312" w:hAnsi="仿宋_GB2312" w:cs="仿宋_GB2312" w:eastAsia="仿宋_GB2312"/>
                      <w:sz w:val="21"/>
                      <w:color w:val="0000FF"/>
                    </w:rPr>
                    <w:t>需</w:t>
                  </w:r>
                  <w:r>
                    <w:rPr>
                      <w:rFonts w:ascii="仿宋_GB2312" w:hAnsi="仿宋_GB2312" w:cs="仿宋_GB2312" w:eastAsia="仿宋_GB2312"/>
                      <w:sz w:val="21"/>
                      <w:color w:val="0000FF"/>
                    </w:rPr>
                    <w:t>由油缸伸出动作完成，</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采用机构死点进行锁紧，锁紧时油缸不受力。</w:t>
                  </w:r>
                </w:p>
                <w:p>
                  <w:pPr>
                    <w:pStyle w:val="null3"/>
                    <w:jc w:val="left"/>
                  </w:pPr>
                  <w:r>
                    <w:rPr>
                      <w:rFonts w:ascii="仿宋_GB2312" w:hAnsi="仿宋_GB2312" w:cs="仿宋_GB2312" w:eastAsia="仿宋_GB2312"/>
                      <w:sz w:val="21"/>
                      <w:color w:val="0000FF"/>
                    </w:rPr>
                    <w:t>4.</w:t>
                  </w:r>
                  <w:r>
                    <w:rPr>
                      <w:rFonts w:ascii="仿宋_GB2312" w:hAnsi="仿宋_GB2312" w:cs="仿宋_GB2312" w:eastAsia="仿宋_GB2312"/>
                      <w:sz w:val="21"/>
                      <w:color w:val="0000FF"/>
                    </w:rPr>
                    <w:t>提门装置</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采用单油缸驱动。</w:t>
                  </w:r>
                </w:p>
                <w:p>
                  <w:pPr>
                    <w:pStyle w:val="null3"/>
                    <w:jc w:val="left"/>
                  </w:pPr>
                  <w:r>
                    <w:rPr>
                      <w:rFonts w:ascii="仿宋_GB2312" w:hAnsi="仿宋_GB2312" w:cs="仿宋_GB2312" w:eastAsia="仿宋_GB2312"/>
                      <w:sz w:val="21"/>
                      <w:color w:val="0000FF"/>
                    </w:rPr>
                    <w:t>5.</w:t>
                  </w:r>
                  <w:r>
                    <w:rPr>
                      <w:rFonts w:ascii="仿宋_GB2312" w:hAnsi="仿宋_GB2312" w:cs="仿宋_GB2312" w:eastAsia="仿宋_GB2312"/>
                      <w:sz w:val="21"/>
                      <w:color w:val="0000FF"/>
                    </w:rPr>
                    <w:t>压缩腔底板厚度</w:t>
                  </w:r>
                  <w:r>
                    <w:rPr>
                      <w:rFonts w:ascii="仿宋_GB2312" w:hAnsi="仿宋_GB2312" w:cs="仿宋_GB2312" w:eastAsia="仿宋_GB2312"/>
                      <w:sz w:val="21"/>
                      <w:color w:val="0000FF"/>
                    </w:rPr>
                    <w:t>≥12mm，侧板厚度≥10mm，并采用高强度、耐磨钢板，硬度≥450HB，屈服强度≥1100MPa。</w:t>
                  </w:r>
                </w:p>
                <w:p>
                  <w:pPr>
                    <w:pStyle w:val="null3"/>
                    <w:jc w:val="left"/>
                  </w:pPr>
                  <w:r>
                    <w:rPr>
                      <w:rFonts w:ascii="仿宋_GB2312" w:hAnsi="仿宋_GB2312" w:cs="仿宋_GB2312" w:eastAsia="仿宋_GB2312"/>
                      <w:sz w:val="21"/>
                      <w:color w:val="0000FF"/>
                    </w:rPr>
                    <w:t>6.</w:t>
                  </w:r>
                  <w:r>
                    <w:rPr>
                      <w:rFonts w:ascii="仿宋_GB2312" w:hAnsi="仿宋_GB2312" w:cs="仿宋_GB2312" w:eastAsia="仿宋_GB2312"/>
                      <w:sz w:val="21"/>
                      <w:color w:val="0000FF"/>
                    </w:rPr>
                    <w:t>机体后部两侧及尾部</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设置检修门，便于维护保养。</w:t>
                  </w:r>
                </w:p>
                <w:p>
                  <w:pPr>
                    <w:pStyle w:val="null3"/>
                    <w:jc w:val="left"/>
                  </w:pPr>
                  <w:r>
                    <w:rPr>
                      <w:rFonts w:ascii="仿宋_GB2312" w:hAnsi="仿宋_GB2312" w:cs="仿宋_GB2312" w:eastAsia="仿宋_GB2312"/>
                      <w:sz w:val="21"/>
                      <w:color w:val="0000FF"/>
                    </w:rPr>
                    <w:t>7.</w:t>
                  </w:r>
                  <w:r>
                    <w:rPr>
                      <w:rFonts w:ascii="仿宋_GB2312" w:hAnsi="仿宋_GB2312" w:cs="仿宋_GB2312" w:eastAsia="仿宋_GB2312"/>
                      <w:sz w:val="21"/>
                      <w:color w:val="0000FF"/>
                    </w:rPr>
                    <w:t>推头</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采用滚轮滚动运行方式，并在推头两侧设置导向滚轮。</w:t>
                  </w:r>
                </w:p>
                <w:p>
                  <w:pPr>
                    <w:pStyle w:val="null3"/>
                    <w:jc w:val="left"/>
                  </w:pPr>
                  <w:r>
                    <w:rPr>
                      <w:rFonts w:ascii="仿宋_GB2312" w:hAnsi="仿宋_GB2312" w:cs="仿宋_GB2312" w:eastAsia="仿宋_GB2312"/>
                      <w:sz w:val="21"/>
                      <w:color w:val="0000FF"/>
                    </w:rPr>
                    <w:t>8.</w:t>
                  </w:r>
                  <w:r>
                    <w:rPr>
                      <w:rFonts w:ascii="仿宋_GB2312" w:hAnsi="仿宋_GB2312" w:cs="仿宋_GB2312" w:eastAsia="仿宋_GB2312"/>
                      <w:sz w:val="21"/>
                      <w:color w:val="0000FF"/>
                    </w:rPr>
                    <w:t>推头</w:t>
                  </w:r>
                  <w:r>
                    <w:rPr>
                      <w:rFonts w:ascii="仿宋_GB2312" w:hAnsi="仿宋_GB2312" w:cs="仿宋_GB2312" w:eastAsia="仿宋_GB2312"/>
                      <w:sz w:val="21"/>
                      <w:color w:val="0000FF"/>
                    </w:rPr>
                    <w:t>需</w:t>
                  </w:r>
                  <w:r>
                    <w:rPr>
                      <w:rFonts w:ascii="仿宋_GB2312" w:hAnsi="仿宋_GB2312" w:cs="仿宋_GB2312" w:eastAsia="仿宋_GB2312"/>
                      <w:sz w:val="21"/>
                      <w:color w:val="0000FF"/>
                    </w:rPr>
                    <w:t>直接与垃圾接触，中间无其他机构。</w:t>
                  </w:r>
                </w:p>
                <w:p>
                  <w:pPr>
                    <w:pStyle w:val="null3"/>
                    <w:jc w:val="left"/>
                  </w:pPr>
                  <w:r>
                    <w:rPr>
                      <w:rFonts w:ascii="仿宋_GB2312" w:hAnsi="仿宋_GB2312" w:cs="仿宋_GB2312" w:eastAsia="仿宋_GB2312"/>
                      <w:sz w:val="21"/>
                      <w:color w:val="0000FF"/>
                    </w:rPr>
                    <w:t>9.</w:t>
                  </w:r>
                  <w:r>
                    <w:rPr>
                      <w:rFonts w:ascii="仿宋_GB2312" w:hAnsi="仿宋_GB2312" w:cs="仿宋_GB2312" w:eastAsia="仿宋_GB2312"/>
                      <w:sz w:val="21"/>
                      <w:color w:val="0000FF"/>
                    </w:rPr>
                    <w:t>推头顶部与压缩腔体之间</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设置有自补偿密封装置，减少残余垃圾进入后腔体。</w:t>
                  </w:r>
                </w:p>
                <w:p>
                  <w:pPr>
                    <w:pStyle w:val="null3"/>
                    <w:jc w:val="left"/>
                  </w:pPr>
                  <w:r>
                    <w:rPr>
                      <w:rFonts w:ascii="仿宋_GB2312" w:hAnsi="仿宋_GB2312" w:cs="仿宋_GB2312" w:eastAsia="仿宋_GB2312"/>
                      <w:sz w:val="21"/>
                      <w:color w:val="0000FF"/>
                    </w:rPr>
                    <w:t>10.</w:t>
                  </w:r>
                  <w:r>
                    <w:rPr>
                      <w:rFonts w:ascii="仿宋_GB2312" w:hAnsi="仿宋_GB2312" w:cs="仿宋_GB2312" w:eastAsia="仿宋_GB2312"/>
                      <w:sz w:val="21"/>
                      <w:color w:val="0000FF"/>
                    </w:rPr>
                    <w:t>主压缩油缸与油缸支座间</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设计弹性结构，确保油缸受到冲击、偏载时有一定的缓冲能力。</w:t>
                  </w:r>
                </w:p>
                <w:p>
                  <w:pPr>
                    <w:pStyle w:val="null3"/>
                    <w:jc w:val="left"/>
                  </w:pPr>
                  <w:r>
                    <w:rPr>
                      <w:rFonts w:ascii="仿宋_GB2312" w:hAnsi="仿宋_GB2312" w:cs="仿宋_GB2312" w:eastAsia="仿宋_GB2312"/>
                      <w:sz w:val="21"/>
                      <w:color w:val="0000FF"/>
                    </w:rPr>
                    <w:t>11.</w:t>
                  </w:r>
                  <w:r>
                    <w:rPr>
                      <w:rFonts w:ascii="仿宋_GB2312" w:hAnsi="仿宋_GB2312" w:cs="仿宋_GB2312" w:eastAsia="仿宋_GB2312"/>
                      <w:sz w:val="21"/>
                      <w:color w:val="0000FF"/>
                    </w:rPr>
                    <w:t>压缩机污水箱</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采用全密闭式设计，其表面设有维护门，内部</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设置可拆卸式格栅篓滤渣装置。</w:t>
                  </w:r>
                </w:p>
                <w:p>
                  <w:pPr>
                    <w:pStyle w:val="null3"/>
                    <w:jc w:val="left"/>
                  </w:pPr>
                  <w:r>
                    <w:rPr>
                      <w:rFonts w:ascii="仿宋_GB2312" w:hAnsi="仿宋_GB2312" w:cs="仿宋_GB2312" w:eastAsia="仿宋_GB2312"/>
                      <w:sz w:val="21"/>
                      <w:color w:val="0000FF"/>
                    </w:rPr>
                    <w:t>12.</w:t>
                  </w:r>
                  <w:r>
                    <w:rPr>
                      <w:rFonts w:ascii="仿宋_GB2312" w:hAnsi="仿宋_GB2312" w:cs="仿宋_GB2312" w:eastAsia="仿宋_GB2312"/>
                      <w:sz w:val="21"/>
                      <w:color w:val="0000FF"/>
                    </w:rPr>
                    <w:t>机电液一体化，即液压泵站及电控箱均布置在压缩机上。</w:t>
                  </w:r>
                </w:p>
                <w:p>
                  <w:pPr>
                    <w:pStyle w:val="null3"/>
                    <w:jc w:val="left"/>
                  </w:pPr>
                  <w:r>
                    <w:rPr>
                      <w:rFonts w:ascii="仿宋_GB2312" w:hAnsi="仿宋_GB2312" w:cs="仿宋_GB2312" w:eastAsia="仿宋_GB2312"/>
                      <w:sz w:val="21"/>
                      <w:color w:val="0000FF"/>
                    </w:rPr>
                    <w:t>13.</w:t>
                  </w:r>
                  <w:r>
                    <w:rPr>
                      <w:rFonts w:ascii="仿宋_GB2312" w:hAnsi="仿宋_GB2312" w:cs="仿宋_GB2312" w:eastAsia="仿宋_GB2312"/>
                      <w:sz w:val="21"/>
                      <w:color w:val="0000FF"/>
                    </w:rPr>
                    <w:t>主压缩油缸缸径</w:t>
                  </w:r>
                  <w:r>
                    <w:rPr>
                      <w:rFonts w:ascii="仿宋_GB2312" w:hAnsi="仿宋_GB2312" w:cs="仿宋_GB2312" w:eastAsia="仿宋_GB2312"/>
                      <w:sz w:val="21"/>
                      <w:color w:val="0000FF"/>
                    </w:rPr>
                    <w:t>≥160mm。</w:t>
                  </w:r>
                </w:p>
                <w:p>
                  <w:pPr>
                    <w:pStyle w:val="null3"/>
                    <w:jc w:val="left"/>
                  </w:pPr>
                  <w:r>
                    <w:rPr>
                      <w:rFonts w:ascii="仿宋_GB2312" w:hAnsi="仿宋_GB2312" w:cs="仿宋_GB2312" w:eastAsia="仿宋_GB2312"/>
                      <w:sz w:val="21"/>
                      <w:color w:val="0000FF"/>
                    </w:rPr>
                    <w:t>14.</w:t>
                  </w:r>
                  <w:r>
                    <w:rPr>
                      <w:rFonts w:ascii="仿宋_GB2312" w:hAnsi="仿宋_GB2312" w:cs="仿宋_GB2312" w:eastAsia="仿宋_GB2312"/>
                      <w:sz w:val="21"/>
                      <w:color w:val="0000FF"/>
                    </w:rPr>
                    <w:t>推头运行</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采用激光测距位移传感技术，对推头进行全行程感应。</w:t>
                  </w:r>
                </w:p>
                <w:p>
                  <w:pPr>
                    <w:pStyle w:val="null3"/>
                    <w:jc w:val="left"/>
                  </w:pPr>
                  <w:r>
                    <w:rPr>
                      <w:rFonts w:ascii="仿宋_GB2312" w:hAnsi="仿宋_GB2312" w:cs="仿宋_GB2312" w:eastAsia="仿宋_GB2312"/>
                      <w:sz w:val="21"/>
                      <w:color w:val="0000FF"/>
                    </w:rPr>
                    <w:t>15.</w:t>
                  </w:r>
                  <w:r>
                    <w:rPr>
                      <w:rFonts w:ascii="仿宋_GB2312" w:hAnsi="仿宋_GB2312" w:cs="仿宋_GB2312" w:eastAsia="仿宋_GB2312"/>
                      <w:sz w:val="21"/>
                      <w:color w:val="0000FF"/>
                    </w:rPr>
                    <w:t>操作台上</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设置可操作的触摸屏，触摸屏尺寸</w:t>
                  </w:r>
                  <w:r>
                    <w:rPr>
                      <w:rFonts w:ascii="仿宋_GB2312" w:hAnsi="仿宋_GB2312" w:cs="仿宋_GB2312" w:eastAsia="仿宋_GB2312"/>
                      <w:sz w:val="21"/>
                      <w:color w:val="0000FF"/>
                    </w:rPr>
                    <w:t>≥7’。</w:t>
                  </w:r>
                </w:p>
                <w:p>
                  <w:pPr>
                    <w:pStyle w:val="null3"/>
                    <w:jc w:val="left"/>
                  </w:pPr>
                  <w:r>
                    <w:rPr>
                      <w:rFonts w:ascii="仿宋_GB2312" w:hAnsi="仿宋_GB2312" w:cs="仿宋_GB2312" w:eastAsia="仿宋_GB2312"/>
                      <w:sz w:val="21"/>
                      <w:color w:val="0000FF"/>
                    </w:rPr>
                    <w:t>16.</w:t>
                  </w:r>
                  <w:r>
                    <w:rPr>
                      <w:rFonts w:ascii="仿宋_GB2312" w:hAnsi="仿宋_GB2312" w:cs="仿宋_GB2312" w:eastAsia="仿宋_GB2312"/>
                      <w:sz w:val="21"/>
                      <w:color w:val="0000FF"/>
                    </w:rPr>
                    <w:t>电控系统</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w:t>
                  </w:r>
                  <w:r>
                    <w:rPr>
                      <w:rFonts w:ascii="仿宋_GB2312" w:hAnsi="仿宋_GB2312" w:cs="仿宋_GB2312" w:eastAsia="仿宋_GB2312"/>
                      <w:sz w:val="21"/>
                      <w:color w:val="0000FF"/>
                    </w:rPr>
                    <w:t>PLC控制，可实现自动推拉垃圾箱、自动启闭锁紧钩、自动启闭垃圾箱门、自动压缩垃圾等动作。</w:t>
                  </w:r>
                </w:p>
                <w:p>
                  <w:pPr>
                    <w:pStyle w:val="null3"/>
                    <w:jc w:val="left"/>
                  </w:pPr>
                  <w:r>
                    <w:rPr>
                      <w:rFonts w:ascii="仿宋_GB2312" w:hAnsi="仿宋_GB2312" w:cs="仿宋_GB2312" w:eastAsia="仿宋_GB2312"/>
                      <w:sz w:val="21"/>
                      <w:color w:val="0000FF"/>
                    </w:rPr>
                    <w:t>17.</w:t>
                  </w:r>
                  <w:r>
                    <w:rPr>
                      <w:rFonts w:ascii="仿宋_GB2312" w:hAnsi="仿宋_GB2312" w:cs="仿宋_GB2312" w:eastAsia="仿宋_GB2312"/>
                      <w:sz w:val="21"/>
                      <w:color w:val="0000FF"/>
                    </w:rPr>
                    <w:t>电气控制系统</w:t>
                  </w:r>
                  <w:r>
                    <w:rPr>
                      <w:rFonts w:ascii="仿宋_GB2312" w:hAnsi="仿宋_GB2312" w:cs="仿宋_GB2312" w:eastAsia="仿宋_GB2312"/>
                      <w:sz w:val="21"/>
                      <w:color w:val="0000FF"/>
                    </w:rPr>
                    <w:t>需</w:t>
                  </w:r>
                  <w:r>
                    <w:rPr>
                      <w:rFonts w:ascii="仿宋_GB2312" w:hAnsi="仿宋_GB2312" w:cs="仿宋_GB2312" w:eastAsia="仿宋_GB2312"/>
                      <w:sz w:val="21"/>
                      <w:color w:val="0000FF"/>
                    </w:rPr>
                    <w:t>是</w:t>
                  </w:r>
                  <w:r>
                    <w:rPr>
                      <w:rFonts w:ascii="仿宋_GB2312" w:hAnsi="仿宋_GB2312" w:cs="仿宋_GB2312" w:eastAsia="仿宋_GB2312"/>
                      <w:sz w:val="21"/>
                      <w:color w:val="0000FF"/>
                    </w:rPr>
                    <w:t>制造商</w:t>
                  </w:r>
                  <w:r>
                    <w:rPr>
                      <w:rFonts w:ascii="仿宋_GB2312" w:hAnsi="仿宋_GB2312" w:cs="仿宋_GB2312" w:eastAsia="仿宋_GB2312"/>
                      <w:sz w:val="21"/>
                      <w:color w:val="0000FF"/>
                    </w:rPr>
                    <w:t>独立开发的，并有完全的自主产权。</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18.理论处理垃圾量</w:t>
                  </w:r>
                  <w:r>
                    <w:rPr>
                      <w:rFonts w:ascii="仿宋_GB2312" w:hAnsi="仿宋_GB2312" w:cs="仿宋_GB2312" w:eastAsia="仿宋_GB2312"/>
                      <w:sz w:val="21"/>
                      <w:color w:val="0000FF"/>
                    </w:rPr>
                    <w:t>≥20t/h</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19.</w:t>
                  </w:r>
                  <w:r>
                    <w:rPr>
                      <w:rFonts w:ascii="仿宋_GB2312" w:hAnsi="仿宋_GB2312" w:cs="仿宋_GB2312" w:eastAsia="仿宋_GB2312"/>
                      <w:sz w:val="21"/>
                      <w:color w:val="0000FF"/>
                    </w:rPr>
                    <w:t>最大压缩力</w:t>
                  </w:r>
                  <w:r>
                    <w:rPr>
                      <w:rFonts w:ascii="仿宋_GB2312" w:hAnsi="仿宋_GB2312" w:cs="仿宋_GB2312" w:eastAsia="仿宋_GB2312"/>
                      <w:sz w:val="21"/>
                      <w:color w:val="0000FF"/>
                    </w:rPr>
                    <w:t>≥420kN</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20.</w:t>
                  </w:r>
                  <w:r>
                    <w:rPr>
                      <w:rFonts w:ascii="仿宋_GB2312" w:hAnsi="仿宋_GB2312" w:cs="仿宋_GB2312" w:eastAsia="仿宋_GB2312"/>
                      <w:sz w:val="21"/>
                      <w:color w:val="0000FF"/>
                    </w:rPr>
                    <w:t>压头（推头）行程</w:t>
                  </w:r>
                  <w:r>
                    <w:rPr>
                      <w:rFonts w:ascii="仿宋_GB2312" w:hAnsi="仿宋_GB2312" w:cs="仿宋_GB2312" w:eastAsia="仿宋_GB2312"/>
                      <w:sz w:val="21"/>
                      <w:color w:val="0000FF"/>
                    </w:rPr>
                    <w:t>≥2600mm</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21.</w:t>
                  </w:r>
                  <w:r>
                    <w:rPr>
                      <w:rFonts w:ascii="仿宋_GB2312" w:hAnsi="仿宋_GB2312" w:cs="仿宋_GB2312" w:eastAsia="仿宋_GB2312"/>
                      <w:sz w:val="21"/>
                      <w:color w:val="0000FF"/>
                    </w:rPr>
                    <w:t>机体投料口尺寸（长</w:t>
                  </w:r>
                  <w:r>
                    <w:rPr>
                      <w:rFonts w:ascii="仿宋_GB2312" w:hAnsi="仿宋_GB2312" w:cs="仿宋_GB2312" w:eastAsia="仿宋_GB2312"/>
                      <w:sz w:val="21"/>
                      <w:color w:val="0000FF"/>
                    </w:rPr>
                    <w:t>×宽）：1890×1850mm（±60mm）。</w:t>
                  </w:r>
                </w:p>
                <w:p>
                  <w:pPr>
                    <w:pStyle w:val="null3"/>
                    <w:jc w:val="left"/>
                  </w:pPr>
                  <w:r>
                    <w:rPr>
                      <w:rFonts w:ascii="仿宋_GB2312" w:hAnsi="仿宋_GB2312" w:cs="仿宋_GB2312" w:eastAsia="仿宋_GB2312"/>
                      <w:sz w:val="21"/>
                      <w:color w:val="0000FF"/>
                    </w:rPr>
                    <w:t>22.</w:t>
                  </w:r>
                  <w:r>
                    <w:rPr>
                      <w:rFonts w:ascii="仿宋_GB2312" w:hAnsi="仿宋_GB2312" w:cs="仿宋_GB2312" w:eastAsia="仿宋_GB2312"/>
                      <w:sz w:val="21"/>
                      <w:color w:val="0000FF"/>
                    </w:rPr>
                    <w:t>压缩腔容积</w:t>
                  </w:r>
                  <w:r>
                    <w:rPr>
                      <w:rFonts w:ascii="仿宋_GB2312" w:hAnsi="仿宋_GB2312" w:cs="仿宋_GB2312" w:eastAsia="仿宋_GB2312"/>
                      <w:sz w:val="21"/>
                      <w:color w:val="0000FF"/>
                    </w:rPr>
                    <w:t>≥2.4</w:t>
                  </w:r>
                  <w:r>
                    <w:rPr>
                      <w:rFonts w:ascii="仿宋_GB2312" w:hAnsi="仿宋_GB2312" w:cs="仿宋_GB2312" w:eastAsia="仿宋_GB2312"/>
                      <w:sz w:val="21"/>
                      <w:color w:val="0000FF"/>
                    </w:rPr>
                    <w:t>m³。</w:t>
                  </w:r>
                </w:p>
                <w:p>
                  <w:pPr>
                    <w:pStyle w:val="null3"/>
                    <w:jc w:val="left"/>
                  </w:pPr>
                  <w:r>
                    <w:rPr>
                      <w:rFonts w:ascii="仿宋_GB2312" w:hAnsi="仿宋_GB2312" w:cs="仿宋_GB2312" w:eastAsia="仿宋_GB2312"/>
                      <w:sz w:val="21"/>
                      <w:color w:val="0000FF"/>
                    </w:rPr>
                    <w:t>23.</w:t>
                  </w:r>
                  <w:r>
                    <w:rPr>
                      <w:rFonts w:ascii="仿宋_GB2312" w:hAnsi="仿宋_GB2312" w:cs="仿宋_GB2312" w:eastAsia="仿宋_GB2312"/>
                      <w:sz w:val="21"/>
                      <w:color w:val="0000FF"/>
                    </w:rPr>
                    <w:t>泵站电机功率</w:t>
                  </w:r>
                  <w:r>
                    <w:rPr>
                      <w:rFonts w:ascii="仿宋_GB2312" w:hAnsi="仿宋_GB2312" w:cs="仿宋_GB2312" w:eastAsia="仿宋_GB2312"/>
                      <w:sz w:val="21"/>
                      <w:color w:val="0000FF"/>
                    </w:rPr>
                    <w:t>≥</w:t>
                  </w:r>
                  <w:r>
                    <w:rPr>
                      <w:rFonts w:ascii="仿宋_GB2312" w:hAnsi="仿宋_GB2312" w:cs="仿宋_GB2312" w:eastAsia="仿宋_GB2312"/>
                      <w:sz w:val="21"/>
                      <w:color w:val="0000FF"/>
                    </w:rPr>
                    <w:t>10</w:t>
                  </w:r>
                  <w:r>
                    <w:rPr>
                      <w:rFonts w:ascii="仿宋_GB2312" w:hAnsi="仿宋_GB2312" w:cs="仿宋_GB2312" w:eastAsia="仿宋_GB2312"/>
                      <w:sz w:val="21"/>
                      <w:color w:val="0000FF"/>
                    </w:rPr>
                    <w:t>kw</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注：</w:t>
                  </w:r>
                  <w:r>
                    <w:rPr>
                      <w:rFonts w:ascii="仿宋_GB2312" w:hAnsi="仿宋_GB2312" w:cs="仿宋_GB2312" w:eastAsia="仿宋_GB2312"/>
                      <w:sz w:val="21"/>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”项需提供省级或省级以上质量监督检验中心(且具备CMA及 CNAS资质)出具的有效检验报告证明。</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移箱平台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1.平台型式：双平台串联式</w:t>
                  </w:r>
                </w:p>
                <w:p>
                  <w:pPr>
                    <w:pStyle w:val="null3"/>
                    <w:spacing w:after="120"/>
                    <w:jc w:val="left"/>
                  </w:pPr>
                  <w:r>
                    <w:rPr>
                      <w:rFonts w:ascii="仿宋_GB2312" w:hAnsi="仿宋_GB2312" w:cs="仿宋_GB2312" w:eastAsia="仿宋_GB2312"/>
                      <w:sz w:val="21"/>
                      <w:color w:val="0000FF"/>
                    </w:rPr>
                    <w:t>2.平移距离≤3000 mm</w:t>
                  </w:r>
                </w:p>
                <w:p>
                  <w:pPr>
                    <w:pStyle w:val="null3"/>
                    <w:spacing w:after="120"/>
                    <w:jc w:val="left"/>
                  </w:pPr>
                  <w:r>
                    <w:rPr>
                      <w:rFonts w:ascii="仿宋_GB2312" w:hAnsi="仿宋_GB2312" w:cs="仿宋_GB2312" w:eastAsia="仿宋_GB2312"/>
                      <w:sz w:val="21"/>
                      <w:color w:val="0000FF"/>
                    </w:rPr>
                    <w:t>3.平移速度：60-70mm/s</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垃圾箱</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4个</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1.垃圾箱整体需采用骨架少筋结构，箱体截面应为方形截面，箱体及卸料门应采用不低于Q345材质的钢板。</w:t>
                  </w:r>
                </w:p>
                <w:p>
                  <w:pPr>
                    <w:pStyle w:val="null3"/>
                    <w:spacing w:after="120"/>
                    <w:jc w:val="left"/>
                  </w:pPr>
                  <w:r>
                    <w:rPr>
                      <w:rFonts w:ascii="仿宋_GB2312" w:hAnsi="仿宋_GB2312" w:cs="仿宋_GB2312" w:eastAsia="仿宋_GB2312"/>
                      <w:sz w:val="21"/>
                      <w:color w:val="0000FF"/>
                    </w:rPr>
                    <w:t>2.垃圾箱顶部需设置有排气孔，确保垃圾压缩进箱体时气流合理排出。</w:t>
                  </w:r>
                </w:p>
                <w:p>
                  <w:pPr>
                    <w:pStyle w:val="null3"/>
                    <w:spacing w:after="120"/>
                    <w:jc w:val="left"/>
                  </w:pPr>
                  <w:r>
                    <w:rPr>
                      <w:rFonts w:ascii="仿宋_GB2312" w:hAnsi="仿宋_GB2312" w:cs="仿宋_GB2312" w:eastAsia="仿宋_GB2312"/>
                      <w:sz w:val="21"/>
                      <w:color w:val="0000FF"/>
                    </w:rPr>
                    <w:t>3.垃圾箱尾部需采用三门（卸料门+闸门+密封门）结构，卸料门需采用门框式结构，内置闸门，可与压缩机的提门机构对接，可上下提升；卸料门的外框需通过液压锁紧机构与箱体后部紧闭，外框在与压缩机对接时，两对接面间应有密封胶条，使压缩过程中无污水滴漏；最外侧密封门，在垃圾运输过程中使闸门中下部保持密闭。</w:t>
                  </w:r>
                </w:p>
                <w:p>
                  <w:pPr>
                    <w:pStyle w:val="null3"/>
                    <w:spacing w:after="120"/>
                    <w:jc w:val="left"/>
                  </w:pPr>
                  <w:r>
                    <w:rPr>
                      <w:rFonts w:ascii="仿宋_GB2312" w:hAnsi="仿宋_GB2312" w:cs="仿宋_GB2312" w:eastAsia="仿宋_GB2312"/>
                      <w:sz w:val="21"/>
                      <w:color w:val="0000FF"/>
                    </w:rPr>
                    <w:t>4.密封门需采用液压自动启闭方式，无需人工手动开关。</w:t>
                  </w:r>
                </w:p>
                <w:p>
                  <w:pPr>
                    <w:pStyle w:val="null3"/>
                    <w:spacing w:after="120"/>
                    <w:jc w:val="left"/>
                  </w:pPr>
                  <w:r>
                    <w:rPr>
                      <w:rFonts w:ascii="仿宋_GB2312" w:hAnsi="仿宋_GB2312" w:cs="仿宋_GB2312" w:eastAsia="仿宋_GB2312"/>
                      <w:sz w:val="21"/>
                      <w:color w:val="0000FF"/>
                    </w:rPr>
                    <w:t>5.卸料门内侧需有带滤水孔板及污水导流通道，使污水快速流走。</w:t>
                  </w:r>
                </w:p>
                <w:p>
                  <w:pPr>
                    <w:pStyle w:val="null3"/>
                    <w:spacing w:after="120"/>
                    <w:jc w:val="left"/>
                  </w:pPr>
                  <w:r>
                    <w:rPr>
                      <w:rFonts w:ascii="仿宋_GB2312" w:hAnsi="仿宋_GB2312" w:cs="仿宋_GB2312" w:eastAsia="仿宋_GB2312"/>
                      <w:sz w:val="21"/>
                      <w:color w:val="0000FF"/>
                    </w:rPr>
                    <w:t>6.卸料门需设置推拉座，与压缩机推拉箱机构配合。</w:t>
                  </w:r>
                </w:p>
                <w:p>
                  <w:pPr>
                    <w:pStyle w:val="null3"/>
                    <w:spacing w:after="120"/>
                    <w:jc w:val="left"/>
                  </w:pPr>
                  <w:r>
                    <w:rPr>
                      <w:rFonts w:ascii="仿宋_GB2312" w:hAnsi="仿宋_GB2312" w:cs="仿宋_GB2312" w:eastAsia="仿宋_GB2312"/>
                      <w:sz w:val="21"/>
                      <w:color w:val="0000FF"/>
                    </w:rPr>
                    <w:t>7.为保证垃圾箱在站内和行驶过程中的密封性能，垃圾箱卸料门需采用多点锁紧（≥4处），并能对密封条压缩量进行调节。</w:t>
                  </w:r>
                </w:p>
                <w:p>
                  <w:pPr>
                    <w:pStyle w:val="null3"/>
                    <w:spacing w:after="120"/>
                    <w:jc w:val="left"/>
                  </w:pPr>
                  <w:r>
                    <w:rPr>
                      <w:rFonts w:ascii="仿宋_GB2312" w:hAnsi="仿宋_GB2312" w:cs="仿宋_GB2312" w:eastAsia="仿宋_GB2312"/>
                      <w:sz w:val="21"/>
                      <w:color w:val="0000FF"/>
                    </w:rPr>
                    <w:t>8.垃圾箱需设置4个冲洗口和2个排水口，每个冲洗口尺寸不小于100mm×50mm。</w:t>
                  </w:r>
                </w:p>
                <w:p>
                  <w:pPr>
                    <w:pStyle w:val="null3"/>
                    <w:spacing w:after="120"/>
                    <w:jc w:val="left"/>
                  </w:pPr>
                  <w:r>
                    <w:rPr>
                      <w:rFonts w:ascii="仿宋_GB2312" w:hAnsi="仿宋_GB2312" w:cs="仿宋_GB2312" w:eastAsia="仿宋_GB2312"/>
                      <w:sz w:val="21"/>
                      <w:color w:val="0000FF"/>
                    </w:rPr>
                    <w:t>9.应充分考虑人机工程，液压快换接头需采用倾斜30°布置，使拔插方便快捷。</w:t>
                  </w:r>
                </w:p>
                <w:p>
                  <w:pPr>
                    <w:pStyle w:val="null3"/>
                    <w:spacing w:after="120"/>
                    <w:jc w:val="left"/>
                  </w:pPr>
                  <w:r>
                    <w:rPr>
                      <w:rFonts w:ascii="仿宋_GB2312" w:hAnsi="仿宋_GB2312" w:cs="仿宋_GB2312" w:eastAsia="仿宋_GB2312"/>
                      <w:sz w:val="21"/>
                      <w:color w:val="0000FF"/>
                    </w:rPr>
                    <w:t>10.容积≥22m³。</w:t>
                  </w:r>
                </w:p>
                <w:p>
                  <w:pPr>
                    <w:pStyle w:val="null3"/>
                    <w:spacing w:after="120"/>
                    <w:jc w:val="left"/>
                  </w:pPr>
                  <w:r>
                    <w:rPr>
                      <w:rFonts w:ascii="仿宋_GB2312" w:hAnsi="仿宋_GB2312" w:cs="仿宋_GB2312" w:eastAsia="仿宋_GB2312"/>
                      <w:sz w:val="21"/>
                      <w:color w:val="0000FF"/>
                    </w:rPr>
                    <w:t>11.外形尺寸（长×宽×高）：6000×2520</w:t>
                  </w:r>
                  <w:r>
                    <w:rPr>
                      <w:rFonts w:ascii="仿宋_GB2312" w:hAnsi="仿宋_GB2312" w:cs="仿宋_GB2312" w:eastAsia="仿宋_GB2312"/>
                      <w:sz w:val="21"/>
                      <w:color w:val="0000FF"/>
                    </w:rPr>
                    <w:t>×2580mm（±100mm）。</w:t>
                  </w:r>
                </w:p>
                <w:p>
                  <w:pPr>
                    <w:pStyle w:val="null3"/>
                    <w:spacing w:after="120"/>
                    <w:jc w:val="left"/>
                  </w:pPr>
                  <w:r>
                    <w:rPr>
                      <w:rFonts w:ascii="仿宋_GB2312" w:hAnsi="仿宋_GB2312" w:cs="仿宋_GB2312" w:eastAsia="仿宋_GB2312"/>
                      <w:sz w:val="21"/>
                      <w:color w:val="0000FF"/>
                    </w:rPr>
                    <w:t>12.垃圾箱自重：≤5000kg。</w:t>
                  </w:r>
                </w:p>
                <w:p>
                  <w:pPr>
                    <w:pStyle w:val="null3"/>
                    <w:spacing w:after="120"/>
                    <w:jc w:val="left"/>
                  </w:pPr>
                  <w:r>
                    <w:rPr>
                      <w:rFonts w:ascii="仿宋_GB2312" w:hAnsi="仿宋_GB2312" w:cs="仿宋_GB2312" w:eastAsia="仿宋_GB2312"/>
                      <w:sz w:val="21"/>
                      <w:color w:val="0000FF"/>
                    </w:rPr>
                    <w:t>13.箱体勾心高度：1570（±10mm）。</w:t>
                  </w:r>
                </w:p>
                <w:p>
                  <w:pPr>
                    <w:pStyle w:val="null3"/>
                    <w:spacing w:after="120"/>
                    <w:jc w:val="left"/>
                  </w:pPr>
                  <w:r>
                    <w:rPr>
                      <w:rFonts w:ascii="仿宋_GB2312" w:hAnsi="仿宋_GB2312" w:cs="仿宋_GB2312" w:eastAsia="仿宋_GB2312"/>
                      <w:sz w:val="21"/>
                      <w:color w:val="0000FF"/>
                    </w:rPr>
                    <w:t>14.箱体板厚：底板≥5mm，侧板≥4mm。</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中央</w:t>
                  </w:r>
                  <w:r>
                    <w:rPr>
                      <w:rFonts w:ascii="仿宋_GB2312" w:hAnsi="仿宋_GB2312" w:cs="仿宋_GB2312" w:eastAsia="仿宋_GB2312"/>
                      <w:sz w:val="21"/>
                      <w:color w:val="0000FF"/>
                    </w:rPr>
                    <w:t>控制系统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1.中控软件：1套，SCADA组态软件。</w:t>
                  </w:r>
                </w:p>
                <w:p>
                  <w:pPr>
                    <w:pStyle w:val="null3"/>
                    <w:spacing w:after="120"/>
                    <w:jc w:val="left"/>
                  </w:pPr>
                  <w:r>
                    <w:rPr>
                      <w:rFonts w:ascii="仿宋_GB2312" w:hAnsi="仿宋_GB2312" w:cs="仿宋_GB2312" w:eastAsia="仿宋_GB2312"/>
                      <w:sz w:val="21"/>
                      <w:color w:val="0000FF"/>
                    </w:rPr>
                    <w:t>2.工控机：1台，内存≥16G，硬盘≥512G ssd+1T hdd 。</w:t>
                  </w:r>
                </w:p>
                <w:p>
                  <w:pPr>
                    <w:pStyle w:val="null3"/>
                    <w:spacing w:after="120"/>
                    <w:jc w:val="left"/>
                  </w:pPr>
                  <w:r>
                    <w:rPr>
                      <w:rFonts w:ascii="仿宋_GB2312" w:hAnsi="仿宋_GB2312" w:cs="仿宋_GB2312" w:eastAsia="仿宋_GB2312"/>
                      <w:sz w:val="21"/>
                      <w:color w:val="0000FF"/>
                    </w:rPr>
                    <w:t>3.显示器：1台，液晶显示器≥23.8英寸，分辨率≥1920*1080。</w:t>
                  </w:r>
                </w:p>
                <w:p>
                  <w:pPr>
                    <w:pStyle w:val="null3"/>
                    <w:spacing w:after="120"/>
                    <w:jc w:val="left"/>
                  </w:pPr>
                  <w:r>
                    <w:rPr>
                      <w:rFonts w:ascii="仿宋_GB2312" w:hAnsi="仿宋_GB2312" w:cs="仿宋_GB2312" w:eastAsia="仿宋_GB2312"/>
                      <w:sz w:val="21"/>
                      <w:color w:val="0000FF"/>
                    </w:rPr>
                    <w:t>4.钢制操作台：1张，应为双工位，桌面材质应选用优质冷轧钢板。</w:t>
                  </w:r>
                </w:p>
                <w:p>
                  <w:pPr>
                    <w:pStyle w:val="null3"/>
                    <w:spacing w:after="120"/>
                    <w:jc w:val="left"/>
                  </w:pPr>
                  <w:r>
                    <w:rPr>
                      <w:rFonts w:ascii="仿宋_GB2312" w:hAnsi="仿宋_GB2312" w:cs="仿宋_GB2312" w:eastAsia="仿宋_GB2312"/>
                      <w:sz w:val="21"/>
                      <w:color w:val="0000FF"/>
                    </w:rPr>
                    <w:t>5.配套椅子：1把，应为黑色靠背网面，应带滚轮。</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视频监控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1.红外阵列筒型网络摄像机（6台）：</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1）像素：≥400万；</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2）日夜转换模式：ICR红外滤片式；</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3）最大图像尺寸：≥2560×1440；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4）防护等级：≥IP67；</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5）红外照射距离：≥50米；</w:t>
                  </w:r>
                </w:p>
                <w:p>
                  <w:pPr>
                    <w:pStyle w:val="null3"/>
                    <w:spacing w:after="120"/>
                    <w:jc w:val="left"/>
                  </w:pPr>
                  <w:r>
                    <w:rPr>
                      <w:rFonts w:ascii="仿宋_GB2312" w:hAnsi="仿宋_GB2312" w:cs="仿宋_GB2312" w:eastAsia="仿宋_GB2312"/>
                      <w:sz w:val="21"/>
                      <w:color w:val="0000FF"/>
                    </w:rPr>
                    <w:t>2.红外网络高清球机（1台）：</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1）像素：≥400万；</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2）红外照射距离：≥150米；</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3）日夜模式：自动ICR彩转黑；</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4）数字变倍：≥16倍；</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5）防护等级：≥IP67；</w:t>
                  </w:r>
                </w:p>
                <w:p>
                  <w:pPr>
                    <w:pStyle w:val="null3"/>
                    <w:spacing w:after="120"/>
                    <w:jc w:val="left"/>
                  </w:pPr>
                  <w:r>
                    <w:rPr>
                      <w:rFonts w:ascii="仿宋_GB2312" w:hAnsi="仿宋_GB2312" w:cs="仿宋_GB2312" w:eastAsia="仿宋_GB2312"/>
                      <w:sz w:val="21"/>
                      <w:color w:val="0000FF"/>
                    </w:rPr>
                    <w:t>3.硬盘录像机（1台）：</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1）网络视频输入：≥16路；</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2）最大容量：至少支持4盘位，每个接口支持容量≥8TB的硬盘；</w:t>
                  </w:r>
                </w:p>
                <w:p>
                  <w:pPr>
                    <w:pStyle w:val="null3"/>
                    <w:spacing w:after="120"/>
                    <w:jc w:val="left"/>
                  </w:pPr>
                  <w:r>
                    <w:rPr>
                      <w:rFonts w:ascii="仿宋_GB2312" w:hAnsi="仿宋_GB2312" w:cs="仿宋_GB2312" w:eastAsia="仿宋_GB2312"/>
                      <w:sz w:val="21"/>
                      <w:color w:val="0000FF"/>
                    </w:rPr>
                    <w:t>4.硬盘（1片）：容量≥6T；</w:t>
                  </w:r>
                </w:p>
                <w:p>
                  <w:pPr>
                    <w:pStyle w:val="null3"/>
                    <w:spacing w:after="120"/>
                    <w:jc w:val="left"/>
                  </w:pPr>
                  <w:r>
                    <w:rPr>
                      <w:rFonts w:ascii="仿宋_GB2312" w:hAnsi="仿宋_GB2312" w:cs="仿宋_GB2312" w:eastAsia="仿宋_GB2312"/>
                      <w:sz w:val="21"/>
                      <w:color w:val="0000FF"/>
                    </w:rPr>
                    <w:t>5.交换机（1套）：</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1）类型：快速以太网交换机；</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2）端口数量：≥16个；</w:t>
                  </w:r>
                </w:p>
                <w:p>
                  <w:pPr>
                    <w:pStyle w:val="null3"/>
                    <w:spacing w:after="120"/>
                    <w:jc w:val="left"/>
                  </w:pPr>
                  <w:r>
                    <w:rPr>
                      <w:rFonts w:ascii="仿宋_GB2312" w:hAnsi="仿宋_GB2312" w:cs="仿宋_GB2312" w:eastAsia="仿宋_GB2312"/>
                      <w:sz w:val="21"/>
                      <w:color w:val="0000FF"/>
                    </w:rPr>
                    <w:t>6.液晶显示器（1个）：</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1）屏幕尺寸：≥23.8英寸；</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2）最佳分辨率：≥1920*1080；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交通</w:t>
                  </w:r>
                  <w:r>
                    <w:rPr>
                      <w:rFonts w:ascii="仿宋_GB2312" w:hAnsi="仿宋_GB2312" w:cs="仿宋_GB2312" w:eastAsia="仿宋_GB2312"/>
                      <w:sz w:val="21"/>
                      <w:color w:val="0000FF"/>
                    </w:rPr>
                    <w:t>指挥系统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1.交通指挥灯组数≥3 组；</w:t>
                  </w:r>
                </w:p>
                <w:p>
                  <w:pPr>
                    <w:pStyle w:val="null3"/>
                    <w:spacing w:after="120"/>
                    <w:jc w:val="left"/>
                  </w:pPr>
                  <w:r>
                    <w:rPr>
                      <w:rFonts w:ascii="仿宋_GB2312" w:hAnsi="仿宋_GB2312" w:cs="仿宋_GB2312" w:eastAsia="仿宋_GB2312"/>
                      <w:sz w:val="21"/>
                      <w:color w:val="0000FF"/>
                    </w:rPr>
                    <w:t>2.灯壳材料：铝合金；</w:t>
                  </w:r>
                </w:p>
                <w:p>
                  <w:pPr>
                    <w:pStyle w:val="null3"/>
                    <w:spacing w:after="120"/>
                    <w:jc w:val="left"/>
                  </w:pPr>
                  <w:r>
                    <w:rPr>
                      <w:rFonts w:ascii="仿宋_GB2312" w:hAnsi="仿宋_GB2312" w:cs="仿宋_GB2312" w:eastAsia="仿宋_GB2312"/>
                      <w:sz w:val="21"/>
                      <w:color w:val="0000FF"/>
                    </w:rPr>
                    <w:t>3.发光面：红叉绿箭；</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7</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语音广播</w:t>
                  </w:r>
                  <w:r>
                    <w:rPr>
                      <w:rFonts w:ascii="仿宋_GB2312" w:hAnsi="仿宋_GB2312" w:cs="仿宋_GB2312" w:eastAsia="仿宋_GB2312"/>
                      <w:sz w:val="21"/>
                      <w:color w:val="0000FF"/>
                    </w:rPr>
                    <w:t>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1.功率放大器（1台）：定压定阻功放机，输出功率：≥180W；</w:t>
                  </w:r>
                </w:p>
                <w:p>
                  <w:pPr>
                    <w:pStyle w:val="null3"/>
                    <w:spacing w:after="120"/>
                    <w:jc w:val="left"/>
                  </w:pPr>
                  <w:r>
                    <w:rPr>
                      <w:rFonts w:ascii="仿宋_GB2312" w:hAnsi="仿宋_GB2312" w:cs="仿宋_GB2312" w:eastAsia="仿宋_GB2312"/>
                      <w:sz w:val="21"/>
                      <w:color w:val="0000FF"/>
                    </w:rPr>
                    <w:t>2.音柱（2件）：额定功率：≥60W；</w:t>
                  </w:r>
                </w:p>
                <w:p>
                  <w:pPr>
                    <w:pStyle w:val="null3"/>
                    <w:spacing w:after="120"/>
                    <w:jc w:val="left"/>
                  </w:pPr>
                  <w:r>
                    <w:rPr>
                      <w:rFonts w:ascii="仿宋_GB2312" w:hAnsi="仿宋_GB2312" w:cs="仿宋_GB2312" w:eastAsia="仿宋_GB2312"/>
                      <w:sz w:val="21"/>
                      <w:color w:val="0000FF"/>
                    </w:rPr>
                    <w:t>3.对讲机（4台）：频率范围：400-470MHz；</w:t>
                  </w:r>
                </w:p>
                <w:p>
                  <w:pPr>
                    <w:pStyle w:val="null3"/>
                    <w:spacing w:after="120"/>
                    <w:jc w:val="left"/>
                  </w:pPr>
                  <w:r>
                    <w:rPr>
                      <w:rFonts w:ascii="仿宋_GB2312" w:hAnsi="仿宋_GB2312" w:cs="仿宋_GB2312" w:eastAsia="仿宋_GB2312"/>
                      <w:sz w:val="21"/>
                      <w:color w:val="0000FF"/>
                    </w:rPr>
                    <w:t>4.有线麦克风（1台）：频率响应：60Hz-18KHz；</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8</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大屏</w:t>
                  </w:r>
                  <w:r>
                    <w:rPr>
                      <w:rFonts w:ascii="仿宋_GB2312" w:hAnsi="仿宋_GB2312" w:cs="仿宋_GB2312" w:eastAsia="仿宋_GB2312"/>
                      <w:sz w:val="21"/>
                      <w:color w:val="0000FF"/>
                    </w:rPr>
                    <w:t>显示系统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1.彩色液晶显示器（1个）：</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1）屏幕尺寸：≥65英寸；</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2）屏幕比例：16:9；</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3）屏幕分辨率：不低于3840×2160；</w:t>
                  </w:r>
                </w:p>
                <w:p>
                  <w:pPr>
                    <w:pStyle w:val="null3"/>
                    <w:spacing w:after="120"/>
                    <w:jc w:val="left"/>
                  </w:pPr>
                  <w:r>
                    <w:rPr>
                      <w:rFonts w:ascii="仿宋_GB2312" w:hAnsi="仿宋_GB2312" w:cs="仿宋_GB2312" w:eastAsia="仿宋_GB2312"/>
                      <w:sz w:val="21"/>
                      <w:color w:val="0000FF"/>
                    </w:rPr>
                    <w:t>2.硬盘录像机（1台）：</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1）网络视频输入：16路；</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2）最大容量：至少支持4盘位，每个接口支持容量≥6TB的硬盘；</w:t>
                  </w:r>
                </w:p>
                <w:p>
                  <w:pPr>
                    <w:pStyle w:val="null3"/>
                    <w:spacing w:after="120"/>
                    <w:jc w:val="left"/>
                  </w:pPr>
                  <w:r>
                    <w:rPr>
                      <w:rFonts w:ascii="仿宋_GB2312" w:hAnsi="仿宋_GB2312" w:cs="仿宋_GB2312" w:eastAsia="仿宋_GB2312"/>
                      <w:sz w:val="21"/>
                      <w:color w:val="0000FF"/>
                    </w:rPr>
                    <w:t>3.硬盘（1片）：容量≥4T；</w:t>
                  </w:r>
                </w:p>
                <w:p>
                  <w:pPr>
                    <w:pStyle w:val="null3"/>
                    <w:spacing w:after="120"/>
                    <w:jc w:val="left"/>
                  </w:pPr>
                  <w:r>
                    <w:rPr>
                      <w:rFonts w:ascii="仿宋_GB2312" w:hAnsi="仿宋_GB2312" w:cs="仿宋_GB2312" w:eastAsia="仿宋_GB2312"/>
                      <w:sz w:val="21"/>
                      <w:color w:val="0000FF"/>
                    </w:rPr>
                    <w:t>4.UPS应急电源（1个）：额定容量≥2400W；</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9</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负压</w:t>
                  </w:r>
                  <w:r>
                    <w:rPr>
                      <w:rFonts w:ascii="仿宋_GB2312" w:hAnsi="仿宋_GB2312" w:cs="仿宋_GB2312" w:eastAsia="仿宋_GB2312"/>
                      <w:sz w:val="21"/>
                      <w:color w:val="0000FF"/>
                    </w:rPr>
                    <w:t>抽风除臭系统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1.风机：</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1）材质：FRP等工程塑料类；</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2）风量(m3/h)：≥30000；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3）功率(kW)：≥22；</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4）噪音(dB（A）)：≤85；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5）防护等级：≥IP55；</w:t>
                  </w:r>
                </w:p>
                <w:p>
                  <w:pPr>
                    <w:pStyle w:val="null3"/>
                    <w:spacing w:after="120"/>
                    <w:jc w:val="left"/>
                  </w:pPr>
                  <w:r>
                    <w:rPr>
                      <w:rFonts w:ascii="仿宋_GB2312" w:hAnsi="仿宋_GB2312" w:cs="仿宋_GB2312" w:eastAsia="仿宋_GB2312"/>
                      <w:sz w:val="21"/>
                      <w:color w:val="0000FF"/>
                    </w:rPr>
                    <w:t>2.洗涤塔：</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1）材质：PP等工程塑料类；</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2）尺寸（mm）：Φ2400*5600（±100mm）；</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3）厚度（mm）：≥12；</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4）填料厚度（mm）：≥500；</w:t>
                  </w:r>
                </w:p>
                <w:p>
                  <w:pPr>
                    <w:pStyle w:val="null3"/>
                    <w:spacing w:after="120"/>
                    <w:jc w:val="left"/>
                  </w:pPr>
                  <w:r>
                    <w:rPr>
                      <w:rFonts w:ascii="仿宋_GB2312" w:hAnsi="仿宋_GB2312" w:cs="仿宋_GB2312" w:eastAsia="仿宋_GB2312"/>
                      <w:sz w:val="21"/>
                      <w:color w:val="0000FF"/>
                    </w:rPr>
                    <w:t>3.控制系统：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1）控制方式：PLC控制；</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2）触摸屏尺寸：≥7</w:t>
                  </w:r>
                  <w:r>
                    <w:rPr>
                      <w:rFonts w:ascii="仿宋_GB2312" w:hAnsi="仿宋_GB2312" w:cs="仿宋_GB2312" w:eastAsia="仿宋_GB2312"/>
                      <w:sz w:val="21"/>
                      <w:color w:val="0000FF"/>
                      <w:u w:val="single"/>
                    </w:rPr>
                    <w:t>英寸</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4.循环泵：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1）流量（L/min)：≥14</w:t>
                  </w:r>
                  <w:r>
                    <w:rPr>
                      <w:rFonts w:ascii="仿宋_GB2312" w:hAnsi="仿宋_GB2312" w:cs="仿宋_GB2312" w:eastAsia="仿宋_GB2312"/>
                      <w:sz w:val="21"/>
                      <w:color w:val="0000FF"/>
                      <w:u w:val="single"/>
                    </w:rPr>
                    <w:t>00</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2）扬程（m）：≥12；</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3）功率(kW)：≥5.5；</w:t>
                  </w:r>
                </w:p>
                <w:p>
                  <w:pPr>
                    <w:pStyle w:val="null3"/>
                    <w:spacing w:after="120"/>
                    <w:jc w:val="left"/>
                  </w:pPr>
                  <w:r>
                    <w:rPr>
                      <w:rFonts w:ascii="仿宋_GB2312" w:hAnsi="仿宋_GB2312" w:cs="仿宋_GB2312" w:eastAsia="仿宋_GB2312"/>
                      <w:sz w:val="21"/>
                      <w:color w:val="0000FF"/>
                    </w:rPr>
                    <w:t>5.除雾器：除雾效率≥80%；</w:t>
                  </w:r>
                </w:p>
                <w:p>
                  <w:pPr>
                    <w:pStyle w:val="null3"/>
                    <w:spacing w:after="120"/>
                    <w:jc w:val="left"/>
                  </w:pPr>
                  <w:r>
                    <w:rPr>
                      <w:rFonts w:ascii="仿宋_GB2312" w:hAnsi="仿宋_GB2312" w:cs="仿宋_GB2312" w:eastAsia="仿宋_GB2312"/>
                      <w:sz w:val="21"/>
                      <w:color w:val="0000FF"/>
                    </w:rPr>
                    <w:t>6.生物药剂：安全性：无毒、无腐蚀性；</w:t>
                  </w:r>
                </w:p>
                <w:p>
                  <w:pPr>
                    <w:pStyle w:val="null3"/>
                    <w:spacing w:after="120"/>
                    <w:jc w:val="left"/>
                  </w:pPr>
                  <w:r>
                    <w:rPr>
                      <w:rFonts w:ascii="仿宋_GB2312" w:hAnsi="仿宋_GB2312" w:cs="仿宋_GB2312" w:eastAsia="仿宋_GB2312"/>
                      <w:sz w:val="21"/>
                      <w:color w:val="0000FF"/>
                    </w:rPr>
                    <w:t>7.烟囱：烟囱高度（m）≥15；</w:t>
                  </w:r>
                </w:p>
                <w:p>
                  <w:pPr>
                    <w:pStyle w:val="null3"/>
                    <w:spacing w:after="120"/>
                    <w:jc w:val="left"/>
                  </w:pPr>
                  <w:r>
                    <w:rPr>
                      <w:rFonts w:ascii="仿宋_GB2312" w:hAnsi="仿宋_GB2312" w:cs="仿宋_GB2312" w:eastAsia="仿宋_GB2312"/>
                      <w:sz w:val="21"/>
                      <w:color w:val="0000FF"/>
                    </w:rPr>
                    <w:t>8.风管：</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1）主风管规格（mm）：≥Φ900；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2）材质：PP</w:t>
                  </w:r>
                  <w:r>
                    <w:rPr>
                      <w:rFonts w:ascii="仿宋_GB2312" w:hAnsi="仿宋_GB2312" w:cs="仿宋_GB2312" w:eastAsia="仿宋_GB2312"/>
                      <w:sz w:val="21"/>
                      <w:color w:val="0000FF"/>
                      <w:u w:val="single"/>
                    </w:rPr>
                    <w:t>等工程塑料类</w:t>
                  </w:r>
                  <w:r>
                    <w:rPr>
                      <w:rFonts w:ascii="仿宋_GB2312" w:hAnsi="仿宋_GB2312" w:cs="仿宋_GB2312" w:eastAsia="仿宋_GB2312"/>
                      <w:sz w:val="21"/>
                      <w:color w:val="0000FF"/>
                    </w:rPr>
                    <w:t>；</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料口喷淋</w:t>
                  </w:r>
                  <w:r>
                    <w:rPr>
                      <w:rFonts w:ascii="仿宋_GB2312" w:hAnsi="仿宋_GB2312" w:cs="仿宋_GB2312" w:eastAsia="仿宋_GB2312"/>
                      <w:sz w:val="21"/>
                      <w:color w:val="0000FF"/>
                    </w:rPr>
                    <w:t>降尘系统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1.控制系统：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1）控制方式：PLC控制；</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2）高压电磁阀：“3/8”常闭型；</w:t>
                  </w:r>
                </w:p>
                <w:p>
                  <w:pPr>
                    <w:pStyle w:val="null3"/>
                    <w:spacing w:after="120"/>
                    <w:jc w:val="left"/>
                  </w:pPr>
                  <w:r>
                    <w:rPr>
                      <w:rFonts w:ascii="仿宋_GB2312" w:hAnsi="仿宋_GB2312" w:cs="仿宋_GB2312" w:eastAsia="仿宋_GB2312"/>
                      <w:sz w:val="21"/>
                      <w:color w:val="0000FF"/>
                    </w:rPr>
                    <w:t>2.输送泵：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1）功率(kW)：≥1.5；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2）流量(L/min)：≥8；</w:t>
                  </w:r>
                </w:p>
                <w:p>
                  <w:pPr>
                    <w:pStyle w:val="null3"/>
                    <w:spacing w:after="120"/>
                    <w:jc w:val="left"/>
                  </w:pPr>
                  <w:r>
                    <w:rPr>
                      <w:rFonts w:ascii="仿宋_GB2312" w:hAnsi="仿宋_GB2312" w:cs="仿宋_GB2312" w:eastAsia="仿宋_GB2312"/>
                      <w:sz w:val="21"/>
                      <w:color w:val="0000FF"/>
                    </w:rPr>
                    <w:t>3.水雾炮：</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1）风机风量(m3/h)：≥1000；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2）雾化半径(m)：2.5-3；</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3）喷嘴材质：SUS304；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4）水雾炮数量：4个/卸料位；</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5）总功率（kW）：≥0.8；</w:t>
                  </w:r>
                </w:p>
                <w:p>
                  <w:pPr>
                    <w:pStyle w:val="null3"/>
                    <w:spacing w:after="120"/>
                    <w:jc w:val="left"/>
                  </w:pPr>
                  <w:r>
                    <w:rPr>
                      <w:rFonts w:ascii="仿宋_GB2312" w:hAnsi="仿宋_GB2312" w:cs="仿宋_GB2312" w:eastAsia="仿宋_GB2312"/>
                      <w:sz w:val="21"/>
                      <w:color w:val="0000FF"/>
                    </w:rPr>
                    <w:t>4.自动配药器：</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1）液箱规格(L)：≥30；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2）液箱材质：PP；</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3）过滤精度(μm)：5；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4）自动配药器：电驱动，比例可调；</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5）液位控制：电极式液位计液位控制；</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6）药剂配比范围：1：1-100；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空间</w:t>
                  </w:r>
                  <w:r>
                    <w:rPr>
                      <w:rFonts w:ascii="仿宋_GB2312" w:hAnsi="仿宋_GB2312" w:cs="仿宋_GB2312" w:eastAsia="仿宋_GB2312"/>
                      <w:sz w:val="21"/>
                      <w:color w:val="0000FF"/>
                    </w:rPr>
                    <w:t>喷淋除臭</w:t>
                  </w:r>
                  <w:r>
                    <w:rPr>
                      <w:rFonts w:ascii="仿宋_GB2312" w:hAnsi="仿宋_GB2312" w:cs="仿宋_GB2312" w:eastAsia="仿宋_GB2312"/>
                      <w:sz w:val="21"/>
                      <w:color w:val="0000FF"/>
                    </w:rPr>
                    <w:t>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1.智能雾化器：</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1）主体材质：SUS304+</w:t>
                  </w:r>
                  <w:r>
                    <w:rPr>
                      <w:rFonts w:ascii="仿宋_GB2312" w:hAnsi="仿宋_GB2312" w:cs="仿宋_GB2312" w:eastAsia="仿宋_GB2312"/>
                      <w:sz w:val="21"/>
                      <w:color w:val="0000FF"/>
                    </w:rPr>
                    <w:t>聚乙烯</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2）雾化液量（ml/min）：50-150；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3）旋转角度：水平180°、俯仰±35°；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4）喷射半径（m）：≥5；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5）雾化器数量（套）：≥4；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6）喷淋方式：二流体雾化；</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7）</w:t>
                  </w:r>
                  <w:r>
                    <w:rPr>
                      <w:rFonts w:ascii="仿宋_GB2312" w:hAnsi="仿宋_GB2312" w:cs="仿宋_GB2312" w:eastAsia="仿宋_GB2312"/>
                      <w:sz w:val="21"/>
                      <w:color w:val="0000FF"/>
                    </w:rPr>
                    <w:t>水箱容积（</w:t>
                  </w:r>
                  <w:r>
                    <w:rPr>
                      <w:rFonts w:ascii="仿宋_GB2312" w:hAnsi="仿宋_GB2312" w:cs="仿宋_GB2312" w:eastAsia="仿宋_GB2312"/>
                      <w:sz w:val="21"/>
                      <w:color w:val="0000FF"/>
                    </w:rPr>
                    <w:t>L</w:t>
                  </w:r>
                  <w:r>
                    <w:rPr>
                      <w:rFonts w:ascii="仿宋_GB2312" w:hAnsi="仿宋_GB2312" w:cs="仿宋_GB2312" w:eastAsia="仿宋_GB2312"/>
                      <w:sz w:val="21"/>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≥30；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8）总功率（kW）：≥4.</w:t>
                  </w:r>
                  <w:r>
                    <w:rPr>
                      <w:rFonts w:ascii="仿宋_GB2312" w:hAnsi="仿宋_GB2312" w:cs="仿宋_GB2312" w:eastAsia="仿宋_GB2312"/>
                      <w:sz w:val="21"/>
                      <w:color w:val="0000FF"/>
                      <w:u w:val="single"/>
                    </w:rPr>
                    <w:t>5</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2.</w:t>
                  </w:r>
                  <w:r>
                    <w:rPr>
                      <w:rFonts w:ascii="仿宋_GB2312" w:hAnsi="仿宋_GB2312" w:cs="仿宋_GB2312" w:eastAsia="仿宋_GB2312"/>
                      <w:sz w:val="21"/>
                      <w:color w:val="0000FF"/>
                    </w:rPr>
                    <w:t>混合</w:t>
                  </w:r>
                  <w:r>
                    <w:rPr>
                      <w:rFonts w:ascii="仿宋_GB2312" w:hAnsi="仿宋_GB2312" w:cs="仿宋_GB2312" w:eastAsia="仿宋_GB2312"/>
                      <w:sz w:val="21"/>
                      <w:color w:val="0000FF"/>
                    </w:rPr>
                    <w:t>液输送泵：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1）流量（m³/h）：≥5；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2）功率（kW）：≥0.5；</w:t>
                  </w:r>
                </w:p>
                <w:p>
                  <w:pPr>
                    <w:pStyle w:val="null3"/>
                    <w:spacing w:after="120"/>
                    <w:jc w:val="left"/>
                  </w:pPr>
                  <w:r>
                    <w:rPr>
                      <w:rFonts w:ascii="仿宋_GB2312" w:hAnsi="仿宋_GB2312" w:cs="仿宋_GB2312" w:eastAsia="仿宋_GB2312"/>
                      <w:sz w:val="21"/>
                      <w:color w:val="0000FF"/>
                    </w:rPr>
                    <w:t>3.植物液原液箱：</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1）容积（L）：≥75；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2）材质：PP ；</w:t>
                  </w:r>
                </w:p>
                <w:p>
                  <w:pPr>
                    <w:pStyle w:val="null3"/>
                    <w:spacing w:after="120"/>
                    <w:jc w:val="left"/>
                  </w:pPr>
                  <w:r>
                    <w:rPr>
                      <w:rFonts w:ascii="仿宋_GB2312" w:hAnsi="仿宋_GB2312" w:cs="仿宋_GB2312" w:eastAsia="仿宋_GB2312"/>
                      <w:sz w:val="21"/>
                      <w:color w:val="0000FF"/>
                    </w:rPr>
                    <w:t>4.植物液工作液箱：</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1）容积（L）：≥500；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2）材质：PP；</w:t>
                  </w:r>
                </w:p>
                <w:p>
                  <w:pPr>
                    <w:pStyle w:val="null3"/>
                    <w:spacing w:after="120"/>
                    <w:jc w:val="left"/>
                  </w:pPr>
                  <w:r>
                    <w:rPr>
                      <w:rFonts w:ascii="仿宋_GB2312" w:hAnsi="仿宋_GB2312" w:cs="仿宋_GB2312" w:eastAsia="仿宋_GB2312"/>
                      <w:sz w:val="21"/>
                      <w:color w:val="0000FF"/>
                    </w:rPr>
                    <w:t>5.进水过滤：</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1）过滤等级：三级过滤；</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2）过滤精度（μm）：</w:t>
                  </w:r>
                  <w:r>
                    <w:rPr>
                      <w:rFonts w:ascii="仿宋_GB2312" w:hAnsi="仿宋_GB2312" w:cs="仿宋_GB2312" w:eastAsia="仿宋_GB2312"/>
                      <w:sz w:val="21"/>
                      <w:color w:val="0000FF"/>
                      <w:u w:val="single"/>
                    </w:rPr>
                    <w:t>≤</w:t>
                  </w:r>
                  <w:r>
                    <w:rPr>
                      <w:rFonts w:ascii="仿宋_GB2312" w:hAnsi="仿宋_GB2312" w:cs="仿宋_GB2312" w:eastAsia="仿宋_GB2312"/>
                      <w:sz w:val="21"/>
                      <w:color w:val="0000FF"/>
                    </w:rPr>
                    <w:t>5；</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快速</w:t>
                  </w:r>
                  <w:r>
                    <w:rPr>
                      <w:rFonts w:ascii="仿宋_GB2312" w:hAnsi="仿宋_GB2312" w:cs="仿宋_GB2312" w:eastAsia="仿宋_GB2312"/>
                      <w:sz w:val="21"/>
                      <w:color w:val="0000FF"/>
                    </w:rPr>
                    <w:t>卷帘门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1.开启速度：0.8～1.5m/s（可调节速度）；</w:t>
                  </w:r>
                </w:p>
                <w:p>
                  <w:pPr>
                    <w:pStyle w:val="null3"/>
                    <w:spacing w:after="120"/>
                    <w:jc w:val="left"/>
                  </w:pPr>
                  <w:r>
                    <w:rPr>
                      <w:rFonts w:ascii="仿宋_GB2312" w:hAnsi="仿宋_GB2312" w:cs="仿宋_GB2312" w:eastAsia="仿宋_GB2312"/>
                      <w:sz w:val="21"/>
                      <w:color w:val="0000FF"/>
                    </w:rPr>
                    <w:t>2.适用门洞尺寸：3.5m×6.5m（可定制）；</w:t>
                  </w:r>
                </w:p>
                <w:p>
                  <w:pPr>
                    <w:pStyle w:val="null3"/>
                    <w:spacing w:after="120"/>
                    <w:jc w:val="left"/>
                  </w:pPr>
                  <w:r>
                    <w:rPr>
                      <w:rFonts w:ascii="仿宋_GB2312" w:hAnsi="仿宋_GB2312" w:cs="仿宋_GB2312" w:eastAsia="仿宋_GB2312"/>
                      <w:sz w:val="21"/>
                      <w:color w:val="0000FF"/>
                    </w:rPr>
                    <w:t>3.电机功率：≤1.5kW；</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风幕机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1.风量（m³/h）：≥75</w:t>
                  </w:r>
                  <w:r>
                    <w:rPr>
                      <w:rFonts w:ascii="仿宋_GB2312" w:hAnsi="仿宋_GB2312" w:cs="仿宋_GB2312" w:eastAsia="仿宋_GB2312"/>
                      <w:sz w:val="21"/>
                      <w:color w:val="0000FF"/>
                      <w:u w:val="single"/>
                    </w:rPr>
                    <w:t>0</w:t>
                  </w:r>
                  <w:r>
                    <w:rPr>
                      <w:rFonts w:ascii="仿宋_GB2312" w:hAnsi="仿宋_GB2312" w:cs="仿宋_GB2312" w:eastAsia="仿宋_GB2312"/>
                      <w:sz w:val="21"/>
                      <w:color w:val="0000FF"/>
                    </w:rPr>
                    <w:t>0；</w:t>
                  </w:r>
                </w:p>
                <w:p>
                  <w:pPr>
                    <w:pStyle w:val="null3"/>
                    <w:spacing w:after="120"/>
                    <w:jc w:val="left"/>
                  </w:pPr>
                  <w:r>
                    <w:rPr>
                      <w:rFonts w:ascii="仿宋_GB2312" w:hAnsi="仿宋_GB2312" w:cs="仿宋_GB2312" w:eastAsia="仿宋_GB2312"/>
                      <w:sz w:val="21"/>
                      <w:color w:val="0000FF"/>
                    </w:rPr>
                    <w:t>2.长度（mm）：1500（±100mm）；</w:t>
                  </w:r>
                </w:p>
                <w:p>
                  <w:pPr>
                    <w:pStyle w:val="null3"/>
                    <w:spacing w:after="120"/>
                    <w:jc w:val="left"/>
                  </w:pPr>
                  <w:r>
                    <w:rPr>
                      <w:rFonts w:ascii="仿宋_GB2312" w:hAnsi="仿宋_GB2312" w:cs="仿宋_GB2312" w:eastAsia="仿宋_GB2312"/>
                      <w:sz w:val="21"/>
                      <w:color w:val="0000FF"/>
                    </w:rPr>
                    <w:t>3.适用门洞高度（m）：6-8；</w:t>
                  </w:r>
                </w:p>
                <w:p>
                  <w:pPr>
                    <w:pStyle w:val="null3"/>
                    <w:spacing w:after="120"/>
                    <w:jc w:val="left"/>
                  </w:pPr>
                  <w:r>
                    <w:rPr>
                      <w:rFonts w:ascii="仿宋_GB2312" w:hAnsi="仿宋_GB2312" w:cs="仿宋_GB2312" w:eastAsia="仿宋_GB2312"/>
                      <w:sz w:val="21"/>
                      <w:color w:val="0000FF"/>
                    </w:rPr>
                    <w:t>4.电机功率（kW）：≥2.</w:t>
                  </w:r>
                  <w:r>
                    <w:rPr>
                      <w:rFonts w:ascii="仿宋_GB2312" w:hAnsi="仿宋_GB2312" w:cs="仿宋_GB2312" w:eastAsia="仿宋_GB2312"/>
                      <w:sz w:val="21"/>
                      <w:color w:val="0000FF"/>
                      <w:u w:val="single"/>
                    </w:rPr>
                    <w:t>5</w:t>
                  </w:r>
                  <w:r>
                    <w:rPr>
                      <w:rFonts w:ascii="仿宋_GB2312" w:hAnsi="仿宋_GB2312" w:cs="仿宋_GB2312" w:eastAsia="仿宋_GB2312"/>
                      <w:sz w:val="21"/>
                      <w:color w:val="0000FF"/>
                    </w:rPr>
                    <w:t>；</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14</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高压</w:t>
                  </w:r>
                  <w:r>
                    <w:rPr>
                      <w:rFonts w:ascii="仿宋_GB2312" w:hAnsi="仿宋_GB2312" w:cs="仿宋_GB2312" w:eastAsia="仿宋_GB2312"/>
                      <w:sz w:val="21"/>
                      <w:color w:val="0000FF"/>
                    </w:rPr>
                    <w:t>清洗机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2套</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1.功率：≤3 kW；</w:t>
                  </w:r>
                </w:p>
                <w:p>
                  <w:pPr>
                    <w:pStyle w:val="null3"/>
                    <w:spacing w:after="120"/>
                    <w:jc w:val="left"/>
                  </w:pPr>
                  <w:r>
                    <w:rPr>
                      <w:rFonts w:ascii="仿宋_GB2312" w:hAnsi="仿宋_GB2312" w:cs="仿宋_GB2312" w:eastAsia="仿宋_GB2312"/>
                      <w:sz w:val="21"/>
                      <w:color w:val="0000FF"/>
                    </w:rPr>
                    <w:t>2.电源：220 V/50 Hz；</w:t>
                  </w:r>
                </w:p>
                <w:p>
                  <w:pPr>
                    <w:pStyle w:val="null3"/>
                    <w:spacing w:after="120"/>
                    <w:jc w:val="left"/>
                  </w:pPr>
                  <w:r>
                    <w:rPr>
                      <w:rFonts w:ascii="仿宋_GB2312" w:hAnsi="仿宋_GB2312" w:cs="仿宋_GB2312" w:eastAsia="仿宋_GB2312"/>
                      <w:sz w:val="21"/>
                      <w:color w:val="0000FF"/>
                    </w:rPr>
                    <w:t>3.水流量：≥600 L/h；</w:t>
                  </w:r>
                </w:p>
                <w:p>
                  <w:pPr>
                    <w:pStyle w:val="null3"/>
                    <w:spacing w:after="120"/>
                    <w:jc w:val="left"/>
                  </w:pPr>
                  <w:r>
                    <w:rPr>
                      <w:rFonts w:ascii="仿宋_GB2312" w:hAnsi="仿宋_GB2312" w:cs="仿宋_GB2312" w:eastAsia="仿宋_GB2312"/>
                      <w:sz w:val="21"/>
                      <w:color w:val="0000FF"/>
                    </w:rPr>
                    <w:t>4.最大压力：≥15 MPa；</w:t>
                  </w:r>
                </w:p>
                <w:p>
                  <w:pPr>
                    <w:pStyle w:val="null3"/>
                    <w:spacing w:after="120"/>
                    <w:jc w:val="left"/>
                  </w:pPr>
                  <w:r>
                    <w:rPr>
                      <w:rFonts w:ascii="仿宋_GB2312" w:hAnsi="仿宋_GB2312" w:cs="仿宋_GB2312" w:eastAsia="仿宋_GB2312"/>
                      <w:sz w:val="21"/>
                      <w:color w:val="0000FF"/>
                    </w:rPr>
                    <w:t>5.高压管长度：≥10</w:t>
                  </w:r>
                  <w:r>
                    <w:rPr>
                      <w:rFonts w:ascii="仿宋_GB2312" w:hAnsi="仿宋_GB2312" w:cs="仿宋_GB2312" w:eastAsia="仿宋_GB2312"/>
                      <w:sz w:val="21"/>
                      <w:color w:val="0000FF"/>
                      <w:u w:val="single"/>
                    </w:rPr>
                    <w:t>m</w:t>
                  </w:r>
                  <w:r>
                    <w:rPr>
                      <w:rFonts w:ascii="仿宋_GB2312" w:hAnsi="仿宋_GB2312" w:cs="仿宋_GB2312" w:eastAsia="仿宋_GB2312"/>
                      <w:sz w:val="21"/>
                      <w:color w:val="0000FF"/>
                    </w:rPr>
                    <w:t>；</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15</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25吨</w:t>
                  </w:r>
                  <w:r>
                    <w:rPr>
                      <w:rFonts w:ascii="仿宋_GB2312" w:hAnsi="仿宋_GB2312" w:cs="仿宋_GB2312" w:eastAsia="仿宋_GB2312"/>
                      <w:sz w:val="21"/>
                      <w:color w:val="0000FF"/>
                    </w:rPr>
                    <w:t>车厢</w:t>
                  </w:r>
                  <w:r>
                    <w:rPr>
                      <w:rFonts w:ascii="仿宋_GB2312" w:hAnsi="仿宋_GB2312" w:cs="仿宋_GB2312" w:eastAsia="仿宋_GB2312"/>
                      <w:sz w:val="21"/>
                      <w:color w:val="0000FF"/>
                    </w:rPr>
                    <w:t>可卸式垃圾车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2辆</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1.外形尺寸(mm)≤8500*2500*3200（长宽高）</w:t>
                  </w:r>
                </w:p>
                <w:p>
                  <w:pPr>
                    <w:pStyle w:val="null3"/>
                    <w:spacing w:after="120"/>
                    <w:jc w:val="left"/>
                  </w:pPr>
                  <w:r>
                    <w:rPr>
                      <w:rFonts w:ascii="仿宋_GB2312" w:hAnsi="仿宋_GB2312" w:cs="仿宋_GB2312" w:eastAsia="仿宋_GB2312"/>
                      <w:sz w:val="21"/>
                      <w:color w:val="0000FF"/>
                    </w:rPr>
                    <w:t>2.总质量(kg)≥25000</w:t>
                  </w:r>
                </w:p>
                <w:p>
                  <w:pPr>
                    <w:pStyle w:val="null3"/>
                    <w:spacing w:after="120"/>
                    <w:jc w:val="left"/>
                  </w:pPr>
                  <w:r>
                    <w:rPr>
                      <w:rFonts w:ascii="仿宋_GB2312" w:hAnsi="仿宋_GB2312" w:cs="仿宋_GB2312" w:eastAsia="仿宋_GB2312"/>
                      <w:sz w:val="21"/>
                      <w:color w:val="0000FF"/>
                    </w:rPr>
                    <w:t>3.额定载质量(kg)≥14000</w:t>
                  </w:r>
                </w:p>
                <w:p>
                  <w:pPr>
                    <w:pStyle w:val="null3"/>
                    <w:spacing w:after="120"/>
                    <w:jc w:val="left"/>
                  </w:pPr>
                  <w:r>
                    <w:rPr>
                      <w:rFonts w:ascii="仿宋_GB2312" w:hAnsi="仿宋_GB2312" w:cs="仿宋_GB2312" w:eastAsia="仿宋_GB2312"/>
                      <w:sz w:val="21"/>
                      <w:color w:val="0000FF"/>
                    </w:rPr>
                    <w:t>4.整备质量(kg)≥10700</w:t>
                  </w:r>
                </w:p>
                <w:p>
                  <w:pPr>
                    <w:pStyle w:val="null3"/>
                    <w:spacing w:after="120"/>
                    <w:jc w:val="left"/>
                  </w:pPr>
                  <w:r>
                    <w:rPr>
                      <w:rFonts w:ascii="仿宋_GB2312" w:hAnsi="仿宋_GB2312" w:cs="仿宋_GB2312" w:eastAsia="仿宋_GB2312"/>
                      <w:sz w:val="21"/>
                      <w:color w:val="0000FF"/>
                    </w:rPr>
                    <w:t>5.接近角/离去角 (°)≥20/20</w:t>
                  </w:r>
                </w:p>
                <w:p>
                  <w:pPr>
                    <w:pStyle w:val="null3"/>
                    <w:spacing w:after="120"/>
                    <w:jc w:val="left"/>
                  </w:pPr>
                  <w:r>
                    <w:rPr>
                      <w:rFonts w:ascii="仿宋_GB2312" w:hAnsi="仿宋_GB2312" w:cs="仿宋_GB2312" w:eastAsia="仿宋_GB2312"/>
                      <w:sz w:val="21"/>
                      <w:color w:val="0000FF"/>
                    </w:rPr>
                    <w:t>6.前悬后悬(mm)≥1480/1250</w:t>
                  </w:r>
                </w:p>
                <w:p>
                  <w:pPr>
                    <w:pStyle w:val="null3"/>
                    <w:spacing w:after="120"/>
                    <w:jc w:val="left"/>
                  </w:pPr>
                  <w:r>
                    <w:rPr>
                      <w:rFonts w:ascii="仿宋_GB2312" w:hAnsi="仿宋_GB2312" w:cs="仿宋_GB2312" w:eastAsia="仿宋_GB2312"/>
                      <w:sz w:val="21"/>
                      <w:color w:val="0000FF"/>
                    </w:rPr>
                    <w:t>7.最高车速(km/h)≥85</w:t>
                  </w:r>
                </w:p>
                <w:p>
                  <w:pPr>
                    <w:pStyle w:val="null3"/>
                    <w:spacing w:after="120"/>
                    <w:jc w:val="left"/>
                  </w:pPr>
                  <w:r>
                    <w:rPr>
                      <w:rFonts w:ascii="仿宋_GB2312" w:hAnsi="仿宋_GB2312" w:cs="仿宋_GB2312" w:eastAsia="仿宋_GB2312"/>
                      <w:sz w:val="21"/>
                      <w:color w:val="0000FF"/>
                    </w:rPr>
                    <w:t>8.发动机功率(kw)≥210</w:t>
                  </w:r>
                </w:p>
                <w:p>
                  <w:pPr>
                    <w:pStyle w:val="null3"/>
                    <w:spacing w:after="120"/>
                    <w:jc w:val="left"/>
                  </w:pPr>
                  <w:r>
                    <w:rPr>
                      <w:rFonts w:ascii="仿宋_GB2312" w:hAnsi="仿宋_GB2312" w:cs="仿宋_GB2312" w:eastAsia="仿宋_GB2312"/>
                      <w:sz w:val="21"/>
                      <w:color w:val="0000FF"/>
                    </w:rPr>
                    <w:t>9.最小离地间隙(mm)≥240</w:t>
                  </w:r>
                </w:p>
                <w:p>
                  <w:pPr>
                    <w:pStyle w:val="null3"/>
                    <w:spacing w:after="120"/>
                    <w:jc w:val="left"/>
                  </w:pPr>
                  <w:r>
                    <w:rPr>
                      <w:rFonts w:ascii="仿宋_GB2312" w:hAnsi="仿宋_GB2312" w:cs="仿宋_GB2312" w:eastAsia="仿宋_GB2312"/>
                      <w:sz w:val="21"/>
                      <w:color w:val="0000FF"/>
                    </w:rPr>
                    <w:t>10.最小转弯直径(m)≤16</w:t>
                  </w:r>
                </w:p>
                <w:p>
                  <w:pPr>
                    <w:pStyle w:val="null3"/>
                    <w:spacing w:after="120"/>
                    <w:jc w:val="left"/>
                  </w:pPr>
                  <w:r>
                    <w:rPr>
                      <w:rFonts w:ascii="仿宋_GB2312" w:hAnsi="仿宋_GB2312" w:cs="仿宋_GB2312" w:eastAsia="仿宋_GB2312"/>
                      <w:sz w:val="21"/>
                      <w:color w:val="0000FF"/>
                    </w:rPr>
                    <w:t>11.拉臂额定提升能力(t)≥20</w:t>
                  </w:r>
                </w:p>
                <w:p>
                  <w:pPr>
                    <w:pStyle w:val="null3"/>
                    <w:spacing w:after="120"/>
                    <w:jc w:val="left"/>
                  </w:pPr>
                  <w:r>
                    <w:rPr>
                      <w:rFonts w:ascii="仿宋_GB2312" w:hAnsi="仿宋_GB2312" w:cs="仿宋_GB2312" w:eastAsia="仿宋_GB2312"/>
                      <w:sz w:val="21"/>
                      <w:color w:val="0000FF"/>
                    </w:rPr>
                    <w:t>12.钩心高度(mm)：1570±10</w:t>
                  </w:r>
                </w:p>
                <w:p>
                  <w:pPr>
                    <w:pStyle w:val="null3"/>
                    <w:spacing w:after="120"/>
                    <w:jc w:val="left"/>
                  </w:pPr>
                  <w:r>
                    <w:rPr>
                      <w:rFonts w:ascii="仿宋_GB2312" w:hAnsi="仿宋_GB2312" w:cs="仿宋_GB2312" w:eastAsia="仿宋_GB2312"/>
                      <w:sz w:val="21"/>
                      <w:color w:val="0000FF"/>
                    </w:rPr>
                    <w:t>13.外导入宽度(mm)：1070±10</w:t>
                  </w:r>
                </w:p>
                <w:p>
                  <w:pPr>
                    <w:pStyle w:val="null3"/>
                    <w:spacing w:after="120"/>
                    <w:jc w:val="left"/>
                  </w:pPr>
                  <w:r>
                    <w:rPr>
                      <w:rFonts w:ascii="仿宋_GB2312" w:hAnsi="仿宋_GB2312" w:cs="仿宋_GB2312" w:eastAsia="仿宋_GB2312"/>
                      <w:sz w:val="21"/>
                      <w:color w:val="0000FF"/>
                    </w:rPr>
                    <w:t>14.装箱作业时间(s)≤60</w:t>
                  </w:r>
                </w:p>
                <w:p>
                  <w:pPr>
                    <w:pStyle w:val="null3"/>
                    <w:spacing w:after="120"/>
                    <w:jc w:val="left"/>
                  </w:pPr>
                  <w:r>
                    <w:rPr>
                      <w:rFonts w:ascii="仿宋_GB2312" w:hAnsi="仿宋_GB2312" w:cs="仿宋_GB2312" w:eastAsia="仿宋_GB2312"/>
                      <w:sz w:val="21"/>
                      <w:color w:val="0000FF"/>
                    </w:rPr>
                    <w:t>15.卸箱作业时间(s)≤60</w:t>
                  </w:r>
                </w:p>
                <w:p>
                  <w:pPr>
                    <w:pStyle w:val="null3"/>
                    <w:spacing w:after="120"/>
                    <w:jc w:val="left"/>
                  </w:pPr>
                  <w:r>
                    <w:rPr>
                      <w:rFonts w:ascii="仿宋_GB2312" w:hAnsi="仿宋_GB2312" w:cs="仿宋_GB2312" w:eastAsia="仿宋_GB2312"/>
                      <w:sz w:val="21"/>
                      <w:color w:val="0000FF"/>
                    </w:rPr>
                    <w:t>16.卸料角(°)≥50</w:t>
                  </w:r>
                </w:p>
              </w:tc>
            </w:tr>
          </w:tbl>
          <w:p>
            <w:pPr>
              <w:pStyle w:val="null3"/>
            </w:pPr>
            <w:r>
              <w:rPr>
                <w:rFonts w:ascii="仿宋_GB2312" w:hAnsi="仿宋_GB2312" w:cs="仿宋_GB2312" w:eastAsia="仿宋_GB2312"/>
                <w:sz w:val="21"/>
                <w:b/>
                <w:color w:val="0000FF"/>
              </w:rPr>
              <w:t>备注：</w:t>
            </w:r>
            <w:r>
              <w:rPr>
                <w:rFonts w:ascii="仿宋_GB2312" w:hAnsi="仿宋_GB2312" w:cs="仿宋_GB2312" w:eastAsia="仿宋_GB2312"/>
                <w:sz w:val="21"/>
                <w:b/>
                <w:color w:val="0000FF"/>
              </w:rPr>
              <w:t>1、本项目核心产品为：水平直压式压缩机。如通过初审的有效供应商拟供核心产品的品牌相同，按照《政府采购货物和服务招标投标管理办法》（第87号令）规定，提供相同核心品牌产品且通过资格审查、符合性审查的不同供应商参加同一合同项下投标的，按一家供应商计算，评审后得分最高的同品牌供应商获得中标人推荐资格；评审得分相同的，以“培训及售后服务”得分高的优先，其他同品牌供应商不作为中标候选人。2、供应商拟供车型必须在国家工业和信息化部发布的《车辆生产企业及产品》公告内，须提供查询截图，未提供按无效投标处理。3、本项目所涉及的所有车辆报价须包含车辆购置税、交强险及车辆上户的所有费用，供应商自行考虑计入投标报价中，采购人不在单独支付。</w:t>
            </w:r>
          </w:p>
          <w:p>
            <w:pPr>
              <w:pStyle w:val="null3"/>
            </w:pPr>
            <w:r>
              <w:rPr>
                <w:rFonts w:ascii="仿宋_GB2312" w:hAnsi="仿宋_GB2312" w:cs="仿宋_GB2312" w:eastAsia="仿宋_GB2312"/>
                <w:sz w:val="21"/>
                <w:b/>
                <w:color w:val="0000FF"/>
              </w:rPr>
              <w:t>四、采购标的需满足的其他要求：</w:t>
            </w:r>
          </w:p>
          <w:tbl>
            <w:tblPr>
              <w:tblBorders>
                <w:top w:val="none" w:color="000000" w:sz="4"/>
                <w:left w:val="none" w:color="000000" w:sz="4"/>
                <w:bottom w:val="none" w:color="000000" w:sz="4"/>
                <w:right w:val="none" w:color="000000" w:sz="4"/>
                <w:insideH w:val="none"/>
                <w:insideV w:val="none"/>
              </w:tblBorders>
            </w:tblPr>
            <w:tblGrid>
              <w:gridCol w:w="157"/>
              <w:gridCol w:w="414"/>
              <w:gridCol w:w="1982"/>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1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其他</w:t>
                  </w:r>
                  <w:r>
                    <w:rPr>
                      <w:rFonts w:ascii="仿宋_GB2312" w:hAnsi="仿宋_GB2312" w:cs="仿宋_GB2312" w:eastAsia="仿宋_GB2312"/>
                      <w:sz w:val="21"/>
                      <w:color w:val="0000FF"/>
                    </w:rPr>
                    <w:t>要求</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水平直压式压缩机</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压缩机应由机体、推头、推拉箱装置、锁紧装置、提门装置、料斗罩、污水箱、液压及电控系统等组成。</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移箱平台</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移箱平台应由平台机架，驱动装置、导轨等组成。</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采用两箱三工位的布置方式，可承载两个满载的垃圾箱。</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采用单油缸驱动，通过平台的水平移动能完成垃圾箱的自动换位。</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3）平台主体</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采用单层桁架结构，桁架各梁之间采用钢板封闭形成全覆盖结构，可承接垃圾及污水。</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垃圾箱</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垃圾箱应由箱体、卸料门、密封门、锁紧机构、液压系统等组成，液压系统应能实现卸料门锁紧和密封门的翻转、锁紧。</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中央</w:t>
                  </w:r>
                  <w:r>
                    <w:rPr>
                      <w:rFonts w:ascii="仿宋_GB2312" w:hAnsi="仿宋_GB2312" w:cs="仿宋_GB2312" w:eastAsia="仿宋_GB2312"/>
                      <w:sz w:val="21"/>
                      <w:color w:val="0000FF"/>
                    </w:rPr>
                    <w:t>控制系统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中央控制系统是以工业计算机为基础的自动化控制系统，用于对压缩设备进行监视和控制，应具有数据采集、设备控制及信号报警等功能。中央控制系统应由工控机、显示器、中控软件等组成。</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中控软件要求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1）管理员拥有所有系统权限，并可根据使用情况选择性的分配其他用户拥有的权限。</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2）监控主界面</w:t>
                  </w:r>
                  <w:r>
                    <w:rPr>
                      <w:rFonts w:ascii="仿宋_GB2312" w:hAnsi="仿宋_GB2312" w:cs="仿宋_GB2312" w:eastAsia="仿宋_GB2312"/>
                      <w:sz w:val="21"/>
                      <w:color w:val="0000FF"/>
                    </w:rPr>
                    <w:t>需</w:t>
                  </w:r>
                  <w:r>
                    <w:rPr>
                      <w:rFonts w:ascii="仿宋_GB2312" w:hAnsi="仿宋_GB2312" w:cs="仿宋_GB2312" w:eastAsia="仿宋_GB2312"/>
                      <w:sz w:val="21"/>
                      <w:color w:val="0000FF"/>
                    </w:rPr>
                    <w:t>列出了设备的所有动作操作，以及设备状态信息的反馈，可在界面上显示设备的实时报警信息。</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3）界面布置相关子系统起停按钮和指示灯，方便控制。</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视频监控</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视频监控</w:t>
                  </w:r>
                  <w:r>
                    <w:rPr>
                      <w:rFonts w:ascii="仿宋_GB2312" w:hAnsi="仿宋_GB2312" w:cs="仿宋_GB2312" w:eastAsia="仿宋_GB2312"/>
                      <w:sz w:val="21"/>
                      <w:color w:val="0000FF"/>
                    </w:rPr>
                    <w:t>应由监控摄像机、硬盘录像机、液晶显示器和交换机等组成，通过数字监控摄像头对设备场地人员和设备运行状况进行监控，以保证设备和人员安全。</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交通</w:t>
                  </w:r>
                  <w:r>
                    <w:rPr>
                      <w:rFonts w:ascii="仿宋_GB2312" w:hAnsi="仿宋_GB2312" w:cs="仿宋_GB2312" w:eastAsia="仿宋_GB2312"/>
                      <w:sz w:val="21"/>
                      <w:color w:val="0000FF"/>
                    </w:rPr>
                    <w:t>指挥系统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系统要求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1）交通指挥系统应由红绿灯组成，用于对收集车与转运车的指挥调度。</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2）中控人员可根据监控显示画面，点击中控软件界面上红绿灯按钮，在卸料口或转运门洞处对应显示红绿灯信号，以引导车辆有序入场、出场。</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语音广播</w:t>
                  </w:r>
                  <w:r>
                    <w:rPr>
                      <w:rFonts w:ascii="仿宋_GB2312" w:hAnsi="仿宋_GB2312" w:cs="仿宋_GB2312" w:eastAsia="仿宋_GB2312"/>
                      <w:sz w:val="21"/>
                      <w:color w:val="0000FF"/>
                    </w:rPr>
                    <w:t>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1）当操作人员发现监控视频、或其它报警系统中有可疑现象和紧急突发情况或其他需调度情况时，均能通过麦克风实现紧急语音广播，进行指挥现场处理工作。</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2）站内工作人员中远距离间可通过对讲机进行寻呼对讲，满足工作通讯。</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大屏</w:t>
                  </w:r>
                  <w:r>
                    <w:rPr>
                      <w:rFonts w:ascii="仿宋_GB2312" w:hAnsi="仿宋_GB2312" w:cs="仿宋_GB2312" w:eastAsia="仿宋_GB2312"/>
                      <w:sz w:val="21"/>
                      <w:color w:val="0000FF"/>
                    </w:rPr>
                    <w:t>显示系统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p>
                <w:p>
                  <w:pPr>
                    <w:pStyle w:val="null3"/>
                    <w:jc w:val="both"/>
                  </w:pPr>
                  <w:r>
                    <w:rPr>
                      <w:rFonts w:ascii="仿宋_GB2312" w:hAnsi="仿宋_GB2312" w:cs="仿宋_GB2312" w:eastAsia="仿宋_GB2312"/>
                      <w:sz w:val="21"/>
                      <w:color w:val="0000FF"/>
                    </w:rPr>
                    <w:t>大屏显示系统主要用于监控画面的集中显示，其主要应由彩色液晶显示器、硬盘录像机、硬盘等组成。</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负压</w:t>
                  </w:r>
                  <w:r>
                    <w:rPr>
                      <w:rFonts w:ascii="仿宋_GB2312" w:hAnsi="仿宋_GB2312" w:cs="仿宋_GB2312" w:eastAsia="仿宋_GB2312"/>
                      <w:sz w:val="21"/>
                      <w:color w:val="0000FF"/>
                    </w:rPr>
                    <w:t>抽风除臭系统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负压抽风除臭系统应由风管、风机、洗涤塔、控制系统等组成，用于对作业过程中产生的粉尘、臭气进行集中处理，应采用生物液洗涤工艺，使臭气经处理后达到环保排放要求。</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1）洗涤塔的结构应简单，塔内除喷嘴、填料和除雾装置外，没有其他构件。</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2）应采用PLC控制，自动化程度高、操作简单。</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料口喷淋</w:t>
                  </w:r>
                  <w:r>
                    <w:rPr>
                      <w:rFonts w:ascii="仿宋_GB2312" w:hAnsi="仿宋_GB2312" w:cs="仿宋_GB2312" w:eastAsia="仿宋_GB2312"/>
                      <w:sz w:val="21"/>
                      <w:color w:val="0000FF"/>
                    </w:rPr>
                    <w:t>降尘系统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料口喷淋降尘系统由水雾炮、输送管、输送泵及自动化控制系统组成。水雾炮架设在卸料位上空，通过雾化喷嘴喷出水雾滴，经风机的风力推送将微小颗粒均匀的喷洒在卸料位上空，附空气中的粉尘粒子，从而起到降尘的作用。</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控制系统可根据实际情况，调整运行时间和运行间隔时间。</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空间</w:t>
                  </w:r>
                  <w:r>
                    <w:rPr>
                      <w:rFonts w:ascii="仿宋_GB2312" w:hAnsi="仿宋_GB2312" w:cs="仿宋_GB2312" w:eastAsia="仿宋_GB2312"/>
                      <w:sz w:val="21"/>
                      <w:color w:val="0000FF"/>
                    </w:rPr>
                    <w:t>喷淋除臭</w:t>
                  </w:r>
                  <w:r>
                    <w:rPr>
                      <w:rFonts w:ascii="仿宋_GB2312" w:hAnsi="仿宋_GB2312" w:cs="仿宋_GB2312" w:eastAsia="仿宋_GB2312"/>
                      <w:sz w:val="21"/>
                      <w:color w:val="0000FF"/>
                    </w:rPr>
                    <w:t>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空间喷淋除臭系统应由控制系统、供液系统、雾化系统等组成，通过控制系统自动将除臭药剂配比稀释，利用虹吸原理将液体吸入雾化机头，并随机头内产生的气流将液体雾化成极小的颗粒喷出，形成双流体的雾化方式，旋转喷洒到空中及地面，与空间的臭气分子充分接触反应，利用除臭药剂对恶臭物质的吸附、吸收和降解功能，将臭气分子分解，从而减少空间异味。</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w:t>
                  </w:r>
                  <w:r>
                    <w:rPr>
                      <w:rFonts w:ascii="仿宋_GB2312" w:hAnsi="仿宋_GB2312" w:cs="仿宋_GB2312" w:eastAsia="仿宋_GB2312"/>
                      <w:sz w:val="21"/>
                      <w:color w:val="0000FF"/>
                    </w:rPr>
                    <w:t>PLC自动控制，运行过程无需人员值守，可定时启停。</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快速</w:t>
                  </w:r>
                  <w:r>
                    <w:rPr>
                      <w:rFonts w:ascii="仿宋_GB2312" w:hAnsi="仿宋_GB2312" w:cs="仿宋_GB2312" w:eastAsia="仿宋_GB2312"/>
                      <w:sz w:val="21"/>
                      <w:color w:val="0000FF"/>
                    </w:rPr>
                    <w:t>卷帘门</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快速卷帘门应由门帘、传动系统、控制系统、定位系统等组成。</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需</w:t>
                  </w:r>
                  <w:r>
                    <w:rPr>
                      <w:rFonts w:ascii="仿宋_GB2312" w:hAnsi="仿宋_GB2312" w:cs="仿宋_GB2312" w:eastAsia="仿宋_GB2312"/>
                      <w:sz w:val="21"/>
                      <w:color w:val="0000FF"/>
                    </w:rPr>
                    <w:t>使用地磁感应技术，当车辆靠近或离开时，快速卷帘门可根据传感器检测信号自动打开、关闭，不会因垃圾、灰尘、光线、人员晃动等因素而产生误开闭。</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2）门帘</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采用高密度低纱聚酯丝</w:t>
                  </w:r>
                  <w:r>
                    <w:rPr>
                      <w:rFonts w:ascii="仿宋_GB2312" w:hAnsi="仿宋_GB2312" w:cs="仿宋_GB2312" w:eastAsia="仿宋_GB2312"/>
                      <w:sz w:val="21"/>
                      <w:color w:val="0000FF"/>
                    </w:rPr>
                    <w:t>PVDF涂层的涤纶网带与流线型的玻璃纤维加固涤纶组成，门帘厚度≥1mm。</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3）底端</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装有加重隔气布，两侧滑道</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配有内置增强尼龙毛刷密封。</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4）传动系统的电机防护等级≥IP55，并具备刹车释放功能。</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5）控制系统</w:t>
                  </w:r>
                  <w:r>
                    <w:rPr>
                      <w:rFonts w:ascii="仿宋_GB2312" w:hAnsi="仿宋_GB2312" w:cs="仿宋_GB2312" w:eastAsia="仿宋_GB2312"/>
                      <w:sz w:val="21"/>
                      <w:color w:val="0000FF"/>
                    </w:rPr>
                    <w:t>需</w:t>
                  </w:r>
                  <w:r>
                    <w:rPr>
                      <w:rFonts w:ascii="仿宋_GB2312" w:hAnsi="仿宋_GB2312" w:cs="仿宋_GB2312" w:eastAsia="仿宋_GB2312"/>
                      <w:sz w:val="21"/>
                      <w:color w:val="0000FF"/>
                    </w:rPr>
                    <w:t>具备软启动、缓停止功能。</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采用单面地磁环自动开门装置，可感应移动的金属物体。</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7）每樘门门柱下方</w:t>
                  </w:r>
                  <w:r>
                    <w:rPr>
                      <w:rFonts w:ascii="仿宋_GB2312" w:hAnsi="仿宋_GB2312" w:cs="仿宋_GB2312" w:eastAsia="仿宋_GB2312"/>
                      <w:sz w:val="21"/>
                      <w:color w:val="0000FF"/>
                    </w:rPr>
                    <w:t>需</w:t>
                  </w:r>
                  <w:r>
                    <w:rPr>
                      <w:rFonts w:ascii="仿宋_GB2312" w:hAnsi="仿宋_GB2312" w:cs="仿宋_GB2312" w:eastAsia="仿宋_GB2312"/>
                      <w:sz w:val="21"/>
                      <w:color w:val="0000FF"/>
                    </w:rPr>
                    <w:t>装有二套光电保护系统，防止卷帘门落下碰到人或车辆。</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风幕机</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spacing w:after="120"/>
                    <w:jc w:val="left"/>
                  </w:pPr>
                  <w:r>
                    <w:rPr>
                      <w:rFonts w:ascii="仿宋_GB2312" w:hAnsi="仿宋_GB2312" w:cs="仿宋_GB2312" w:eastAsia="仿宋_GB2312"/>
                      <w:sz w:val="21"/>
                      <w:color w:val="0000FF"/>
                    </w:rPr>
                    <w:t>风幕机安装在进出门洞上方，用于将室内外空气隔开，减少臭气外溢。</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高压</w:t>
                  </w:r>
                  <w:r>
                    <w:rPr>
                      <w:rFonts w:ascii="仿宋_GB2312" w:hAnsi="仿宋_GB2312" w:cs="仿宋_GB2312" w:eastAsia="仿宋_GB2312"/>
                      <w:sz w:val="21"/>
                      <w:color w:val="0000FF"/>
                    </w:rPr>
                    <w:t>清洗机</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w:t>
                  </w:r>
                  <w:r>
                    <w:rPr>
                      <w:rFonts w:ascii="仿宋_GB2312" w:hAnsi="仿宋_GB2312" w:cs="仿宋_GB2312" w:eastAsia="仿宋_GB2312"/>
                      <w:sz w:val="21"/>
                      <w:color w:val="0000FF"/>
                    </w:rPr>
                    <w:t>组成要求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高压清洗机应由电机、高压水泵、高压喷枪、高强度塑料构架等组成，用于环卫设备和地面的清洗。</w:t>
                  </w:r>
                </w:p>
                <w:p>
                  <w:pPr>
                    <w:pStyle w:val="null3"/>
                    <w:jc w:val="both"/>
                  </w:pPr>
                  <w:r>
                    <w:rPr>
                      <w:rFonts w:ascii="仿宋_GB2312" w:hAnsi="仿宋_GB2312" w:cs="仿宋_GB2312" w:eastAsia="仿宋_GB2312"/>
                      <w:sz w:val="21"/>
                      <w:color w:val="0000FF"/>
                    </w:rPr>
                    <w:t>2</w:t>
                  </w:r>
                  <w:r>
                    <w:rPr>
                      <w:rFonts w:ascii="仿宋_GB2312" w:hAnsi="仿宋_GB2312" w:cs="仿宋_GB2312" w:eastAsia="仿宋_GB2312"/>
                      <w:sz w:val="21"/>
                      <w:color w:val="0000FF"/>
                    </w:rPr>
                    <w:t>.</w:t>
                  </w:r>
                  <w:r>
                    <w:rPr>
                      <w:rFonts w:ascii="仿宋_GB2312" w:hAnsi="仿宋_GB2312" w:cs="仿宋_GB2312" w:eastAsia="仿宋_GB2312"/>
                      <w:sz w:val="21"/>
                      <w:color w:val="0000FF"/>
                    </w:rPr>
                    <w:t>性能要求</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采用大脚轮胎设计，设备可以移动。</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需</w:t>
                  </w:r>
                  <w:r>
                    <w:rPr>
                      <w:rFonts w:ascii="仿宋_GB2312" w:hAnsi="仿宋_GB2312" w:cs="仿宋_GB2312" w:eastAsia="仿宋_GB2312"/>
                      <w:sz w:val="21"/>
                      <w:color w:val="0000FF"/>
                    </w:rPr>
                    <w:t>配一键式喷枪，可变压力</w:t>
                  </w:r>
                  <w:r>
                    <w:rPr>
                      <w:rFonts w:ascii="仿宋_GB2312" w:hAnsi="仿宋_GB2312" w:cs="仿宋_GB2312" w:eastAsia="仿宋_GB2312"/>
                      <w:sz w:val="21"/>
                      <w:color w:val="0000FF"/>
                    </w:rPr>
                    <w:t>/水流控制。</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25吨</w:t>
                  </w:r>
                  <w:r>
                    <w:rPr>
                      <w:rFonts w:ascii="仿宋_GB2312" w:hAnsi="仿宋_GB2312" w:cs="仿宋_GB2312" w:eastAsia="仿宋_GB2312"/>
                      <w:sz w:val="21"/>
                      <w:color w:val="0000FF"/>
                    </w:rPr>
                    <w:t>车厢</w:t>
                  </w:r>
                  <w:r>
                    <w:rPr>
                      <w:rFonts w:ascii="仿宋_GB2312" w:hAnsi="仿宋_GB2312" w:cs="仿宋_GB2312" w:eastAsia="仿宋_GB2312"/>
                      <w:sz w:val="21"/>
                      <w:color w:val="0000FF"/>
                    </w:rPr>
                    <w:t>可卸式垃圾车</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主要性能特点</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需配有手持控制盒，驾驶员坐在驾驶座上或站立于驾驶室外均可进行操作。</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拉臂多处需采用高强度精铸件。</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车辆后部需装有后支撑装置，作业时将后滚轮支撑在地面，防止车辆向后倾翻。</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车辆在拉臂下降快到位时，液压系统需设有缓冲控制回落，设备能平稳运行。</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1"/>
                      <w:color w:val="0000FF"/>
                    </w:rPr>
                    <w:t>5）</w:t>
                  </w:r>
                  <w:r>
                    <w:rPr>
                      <w:rFonts w:ascii="仿宋_GB2312" w:hAnsi="仿宋_GB2312" w:cs="仿宋_GB2312" w:eastAsia="仿宋_GB2312"/>
                      <w:sz w:val="21"/>
                      <w:color w:val="0000FF"/>
                    </w:rPr>
                    <w:t>需配备蜂鸣器提示，在进行各种作业动作时进行声音提示</w:t>
                  </w:r>
                  <w:r>
                    <w:rPr>
                      <w:rFonts w:ascii="仿宋_GB2312" w:hAnsi="仿宋_GB2312" w:cs="仿宋_GB2312" w:eastAsia="仿宋_GB2312"/>
                      <w:sz w:val="21"/>
                      <w:color w:val="0000FF"/>
                    </w:rPr>
                    <w:t>。</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拉臂上装需设置有多层电液互锁逻辑控制装置。</w:t>
                  </w:r>
                </w:p>
                <w:p>
                  <w:pPr>
                    <w:pStyle w:val="null3"/>
                  </w:pPr>
                  <w:r>
                    <w:rPr>
                      <w:rFonts w:ascii="仿宋_GB2312" w:hAnsi="仿宋_GB2312" w:cs="仿宋_GB2312" w:eastAsia="仿宋_GB2312"/>
                      <w:sz w:val="21"/>
                      <w:color w:val="0000FF"/>
                    </w:rPr>
                    <w:t>（</w:t>
                  </w:r>
                  <w:r>
                    <w:rPr>
                      <w:rFonts w:ascii="仿宋_GB2312" w:hAnsi="仿宋_GB2312" w:cs="仿宋_GB2312" w:eastAsia="仿宋_GB2312"/>
                      <w:sz w:val="21"/>
                      <w:color w:val="0000FF"/>
                    </w:rPr>
                    <w:t>7）</w:t>
                  </w:r>
                  <w:r>
                    <w:rPr>
                      <w:rFonts w:ascii="仿宋_GB2312" w:hAnsi="仿宋_GB2312" w:cs="仿宋_GB2312" w:eastAsia="仿宋_GB2312"/>
                      <w:sz w:val="21"/>
                      <w:color w:val="0000FF"/>
                    </w:rPr>
                    <w:t>需设有安全撑杆。</w:t>
                  </w:r>
                </w:p>
              </w:tc>
            </w:tr>
          </w:tbl>
          <w:p>
            <w:pPr>
              <w:pStyle w:val="null3"/>
            </w:pPr>
            <w:r>
              <w:rPr>
                <w:rFonts w:ascii="仿宋_GB2312" w:hAnsi="仿宋_GB2312" w:cs="仿宋_GB2312" w:eastAsia="仿宋_GB2312"/>
                <w:sz w:val="21"/>
                <w:b/>
                <w:color w:val="0000FF"/>
              </w:rPr>
              <w:t>五</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采购标的需满足的商务要求</w:t>
            </w:r>
            <w:r>
              <w:rPr>
                <w:rFonts w:ascii="仿宋_GB2312" w:hAnsi="仿宋_GB2312" w:cs="仿宋_GB2312" w:eastAsia="仿宋_GB2312"/>
                <w:sz w:val="21"/>
                <w:b/>
                <w:color w:val="0000FF"/>
              </w:rPr>
              <w:t>：</w:t>
            </w:r>
          </w:p>
          <w:p>
            <w:pPr>
              <w:pStyle w:val="null3"/>
              <w:ind w:right="90"/>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交货时间</w:t>
            </w:r>
            <w:r>
              <w:rPr>
                <w:rFonts w:ascii="仿宋_GB2312" w:hAnsi="仿宋_GB2312" w:cs="仿宋_GB2312" w:eastAsia="仿宋_GB2312"/>
                <w:sz w:val="21"/>
                <w:color w:val="0000FF"/>
              </w:rPr>
              <w:t>：</w:t>
            </w:r>
            <w:r>
              <w:rPr>
                <w:rFonts w:ascii="仿宋_GB2312" w:hAnsi="仿宋_GB2312" w:cs="仿宋_GB2312" w:eastAsia="仿宋_GB2312"/>
                <w:sz w:val="21"/>
                <w:color w:val="0000FF"/>
              </w:rPr>
              <w:t>合同签订后</w:t>
            </w:r>
            <w:r>
              <w:rPr>
                <w:rFonts w:ascii="仿宋_GB2312" w:hAnsi="仿宋_GB2312" w:cs="仿宋_GB2312" w:eastAsia="仿宋_GB2312"/>
                <w:sz w:val="21"/>
                <w:color w:val="0000FF"/>
              </w:rPr>
              <w:t>75个日历天</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2.付款方式：</w:t>
            </w:r>
            <w:r>
              <w:rPr>
                <w:rFonts w:ascii="仿宋_GB2312" w:hAnsi="仿宋_GB2312" w:cs="仿宋_GB2312" w:eastAsia="仿宋_GB2312"/>
                <w:sz w:val="21"/>
                <w:color w:val="0000FF"/>
              </w:rPr>
              <w:t>合同签订后，全部货物按招标文件交货期约定交付使用。预付款为合同价款</w:t>
            </w:r>
            <w:r>
              <w:rPr>
                <w:rFonts w:ascii="仿宋_GB2312" w:hAnsi="仿宋_GB2312" w:cs="仿宋_GB2312" w:eastAsia="仿宋_GB2312"/>
                <w:sz w:val="21"/>
                <w:color w:val="0000FF"/>
              </w:rPr>
              <w:t>30%，货到现场甲方签收付合同价款40%，</w:t>
            </w:r>
            <w:r>
              <w:rPr>
                <w:rFonts w:ascii="仿宋_GB2312" w:hAnsi="仿宋_GB2312" w:cs="仿宋_GB2312" w:eastAsia="仿宋_GB2312"/>
                <w:sz w:val="21"/>
                <w:color w:val="0000FF"/>
              </w:rPr>
              <w:t>验收合格付合同价款</w:t>
            </w:r>
            <w:r>
              <w:rPr>
                <w:rFonts w:ascii="仿宋_GB2312" w:hAnsi="仿宋_GB2312" w:cs="仿宋_GB2312" w:eastAsia="仿宋_GB2312"/>
                <w:sz w:val="21"/>
                <w:color w:val="0000FF"/>
              </w:rPr>
              <w:t>30%</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3.质保期：</w:t>
            </w:r>
            <w:r>
              <w:rPr>
                <w:rFonts w:ascii="仿宋_GB2312" w:hAnsi="仿宋_GB2312" w:cs="仿宋_GB2312" w:eastAsia="仿宋_GB2312"/>
                <w:sz w:val="21"/>
                <w:color w:val="0000FF"/>
              </w:rPr>
              <w:t>自验收合格之日起一年</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4.质量标准：符合国家及行业质量验收合格标准</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color w:val="0000FF"/>
              </w:rPr>
              <w:t>5.交货地点：</w:t>
            </w:r>
            <w:r>
              <w:rPr>
                <w:rFonts w:ascii="仿宋_GB2312" w:hAnsi="仿宋_GB2312" w:cs="仿宋_GB2312" w:eastAsia="仿宋_GB2312"/>
                <w:sz w:val="21"/>
                <w:color w:val="0000FF"/>
              </w:rPr>
              <w:t>勉县园林环卫服务中心</w:t>
            </w:r>
            <w:r>
              <w:rPr>
                <w:rFonts w:ascii="仿宋_GB2312" w:hAnsi="仿宋_GB2312" w:cs="仿宋_GB2312" w:eastAsia="仿宋_GB2312"/>
                <w:sz w:val="21"/>
                <w:color w:val="0000FF"/>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合同签订后75个日历天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勉县园林环卫服务中心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1、甲方须在乙方提出书面验收申请之日起 10日内，组织验收工作。验收由甲方指定单位及人员进行验收，验收合格后出具书面验收合格证明，作为对产品的最终认可。 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法定代表人（负责人）身份证明及法定代表人（负责人）授权委托书.docx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主要条款响应</w:t>
            </w:r>
          </w:p>
        </w:tc>
        <w:tc>
          <w:tcPr>
            <w:tcW w:type="dxa" w:w="3322"/>
          </w:tcPr>
          <w:p>
            <w:pPr>
              <w:pStyle w:val="null3"/>
            </w:pPr>
            <w:r>
              <w:rPr>
                <w:rFonts w:ascii="仿宋_GB2312" w:hAnsi="仿宋_GB2312" w:cs="仿宋_GB2312" w:eastAsia="仿宋_GB2312"/>
              </w:rPr>
              <w:t>对“交货期、交货地点、质保期、付款方式”等实质性内容进行响应且未附加采购人难以接受的条件</w:t>
            </w:r>
          </w:p>
        </w:tc>
        <w:tc>
          <w:tcPr>
            <w:tcW w:type="dxa" w:w="1661"/>
          </w:tcPr>
          <w:p>
            <w:pPr>
              <w:pStyle w:val="null3"/>
            </w:pPr>
            <w:r>
              <w:rPr>
                <w:rFonts w:ascii="仿宋_GB2312" w:hAnsi="仿宋_GB2312" w:cs="仿宋_GB2312" w:eastAsia="仿宋_GB2312"/>
              </w:rPr>
              <w:t>标的清单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三、采购标的需满足的技术要求”共154项技术参数及要求，其中“▲”项为重要技术参数及要求，其他的为一般技术参数及要求。（1）“▲”项技术参数及要求共4项，供应商拟供产品技术参数及要求每有一项完全满足得，得4分，共16分；（2）一般技术参数及要求共150项，供应商拟供产品技术参数及要求每有一项完全满足得，得0.2分，共30分，备注：供应商须提供拟供产品相关技术参数证明材料，包括但不限于产品介绍或说明书或检测报告等，供应商自行承担因未提供拟供产品技术参数证明材料导致技术参数被视为负偏离的风险。</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根据招标文件要求和技术响应情况，对供应商提供的设备质量保障措施进行评审： 包括：设备性能稳定性、安全性、功能性、使用效果、质量保障承诺书（须明确产品出现质量问题后的处置及处罚措施），对以上内容详尽阐述； （1）设备性能稳定，功能性完整，安全性及使用性充足，质量保障措施详细具体全面且可行性充足、质量保障承诺明确有力的，得4分； （2）设备性能基本稳定，具有安全性及使用性，质量保障措施明确，有一定可行性、质量保障承诺明确的，得3分； （3）设备性能基本稳定，安全性及使用性不可靠，质量保障措施含糊但具有一定可行性、质量保障承诺含糊的，得2分； （4）设备性能不稳定，功能性不足，安全性及使用性不足，质量保障措施含糊且不具备可行性、质量保障承诺含糊且内容空洞的，得1分；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根据用户需求，对项目实施方案（包括但不限于：供货方案、安全保证方案及应急措施方案等）进行评审。 （1）方案详细具体合理可行，针对性充足，得4分。 （2）方案明确、具有一定合理性及针对性，得3分。 （3）方案明确，但有明显缺陷，合理性及针对性不足，得2分； （4）方案含糊且有明显缺陷，合理性及针对性不足，得1分；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招标文件要求和技术响应情况，对供应商提供的人员配备（包括专职对接人员、售后服务人员等）方案进行评价：（1）针对本项目拟配备服务团队人员架构齐全、数量充足、专业经验丰富，配备方案合理高效，逻辑结构清晰且具有针对性的，得4分；（2）针对本项目拟配备服务团队人员架构基本齐全、数量基本充足、专业经验丰富，配备方案明确且具有一定合理性，逻辑结构基本清晰且具有一定针对性的，得3分； （3）针对本项目拟配备服务团队人员架构基本齐全但数量不充足、部分人员有一定专业经验，配备方案明确但合理性不足，具有逻辑结构且具有一定针对性的，得2分； （4）针对本项目拟配备服务团队人员架构含糊、数量不足、人员专业经验不足，配备方案含糊，逻辑结构不清晰且针对性不足的，得1分；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1、售后技术支持：对供应商提供的售后服务方案（包括售后流程，响应时间，备品、配件保障措施，售后巡查及维护安排，售后服务监督与奖惩，售后服务管理，客诉渠道、承诺及保障措施）进行评审。 （1）售后服务方案内容完善、合理、科学、针对性充足,售后响应及处理及时，售后保障措施详细具体、全面、有效得3分； （2）售后服务方案内容明确且具有一定合理性及针对性,售后响应及处理时间相对及时，售后保障措施明确且基本有效得2分； （3）售后服务方案内容含糊，售后响应和处理周期不及时，售后保障措施含糊且无法保障项目实施，得1分； 未提供，不得分； 2、培训方案： （1）培训方案阐述详细具体、合理可行，培训方式多样化，培训内容具有针对性，符合项目实施需求得3分； （2）培训方案阐述明确、具有一定合理性及可行性，培训方式多样化，培训内容具有一定针对性，基本符合项目实施需求，得2分； （3）培训方案阐述含糊且合理性及可行性不足，培训方式单一，培训内容针对性不足，无法满足项目实施需求，得1分；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供应商自2022年1月1日至投标截止时间所具有类似项目业绩，每提供份计2.5分，满分5分。 注：以供应商投标文件中所附加盖公章的项目合同复印件为准，业绩时间以合同显示时间为准，否则不得分。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供应商所投产品具有国家节能产品认证且证书在有效期内，或具有中国环境标志产品认证证书且在有效期内，或具有国家强制采购节能产品认证证书且在有效期内的投标供应商，得1分。 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详见附件：法定代表人（负责人）身份证明及法定代表人（负责人）授权委托书.docx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