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版本号：ZC2025-HW-24320251225003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勉县城镇生活垃圾转运处理设施设备更新项目（一期）江北生活垃圾压缩转运站成套压缩设备采购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ZC2025-HW-243</w:t>
      </w:r>
      <w:r>
        <w:br/>
      </w:r>
      <w:r>
        <w:br/>
      </w:r>
      <w:r>
        <w:br/>
      </w:r>
    </w:p>
    <w:p>
      <w:pPr>
        <w:pStyle w:val="null3"/>
        <w:jc w:val="center"/>
        <w:outlineLvl w:val="2"/>
      </w:pPr>
      <w:r>
        <w:rPr>
          <w:rFonts w:ascii="仿宋_GB2312" w:hAnsi="仿宋_GB2312" w:cs="仿宋_GB2312" w:eastAsia="仿宋_GB2312"/>
          <w:sz w:val="28"/>
          <w:b/>
        </w:rPr>
        <w:t>勉县园林环卫服务中心</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勉县园林环卫服务中心</w:t>
      </w:r>
      <w:r>
        <w:rPr>
          <w:rFonts w:ascii="仿宋_GB2312" w:hAnsi="仿宋_GB2312" w:cs="仿宋_GB2312" w:eastAsia="仿宋_GB2312"/>
        </w:rPr>
        <w:t>委托，拟对</w:t>
      </w:r>
      <w:r>
        <w:rPr>
          <w:rFonts w:ascii="仿宋_GB2312" w:hAnsi="仿宋_GB2312" w:cs="仿宋_GB2312" w:eastAsia="仿宋_GB2312"/>
        </w:rPr>
        <w:t>勉县城镇生活垃圾转运处理设施设备更新项目（一期）江北生活垃圾压缩转运站成套压缩设备采购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ZC2025-HW-243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勉县城镇生活垃圾转运处理设施设备更新项目（一期）江北生活垃圾压缩转运站成套压缩设备采购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勉县城镇生活垃圾转运处理设施设备更新项目（一期）江北生活垃圾压缩转运站成套压缩设备采购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证明资料：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 自然人提供身份证明文件；</w:t>
      </w:r>
    </w:p>
    <w:p>
      <w:pPr>
        <w:pStyle w:val="null3"/>
      </w:pPr>
      <w:r>
        <w:rPr>
          <w:rFonts w:ascii="仿宋_GB2312" w:hAnsi="仿宋_GB2312" w:cs="仿宋_GB2312" w:eastAsia="仿宋_GB2312"/>
        </w:rPr>
        <w:t>2、企业信用：供应商不得为“信用中国” 网站（www.creditchi na.gov.cn）中列入重大税收违法失信主体的供应商；不得为“中国执行信息公开网”（http://z xgk.court.gov.cn）中列入失信被执行人名单的供应商；不得为“中国政府采购网”（www.cc gp.gov.cn）政府采购严重违法失信行为记录名 单中被财政部门禁止参加政府采购活动的供应商； （注：以投标文件中提供的承诺书为准）</w:t>
      </w:r>
    </w:p>
    <w:p>
      <w:pPr>
        <w:pStyle w:val="null3"/>
      </w:pPr>
      <w:r>
        <w:rPr>
          <w:rFonts w:ascii="仿宋_GB2312" w:hAnsi="仿宋_GB2312" w:cs="仿宋_GB2312" w:eastAsia="仿宋_GB2312"/>
        </w:rPr>
        <w:t>3、非联合体投标：本项目不接受联合体投标； （注：以投标文件中提供的声明为准）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勉县园林环卫服务中心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税利鹤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3222900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宋扬、毛鑫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029-88811050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采购包1：5,072,000.00元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银行账号：129911536210906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180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中标金额为基数，参照《国家计委关于印发&lt;招标代理服务收费管理暂行办法&gt;的通知》（计价格[2002]1980号）规定的货物类标准以差额定率累进制计算收取，由中标人在领取中标通知书前一次性足额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勉县园林环卫服务中心</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勉县园林环卫服务中心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勉县园林环卫服务中心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国家及行业质量验收合格标准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联系人：宋扬、毛鑫</w:t>
      </w:r>
    </w:p>
    <w:p>
      <w:pPr>
        <w:pStyle w:val="null3"/>
      </w:pPr>
      <w:r>
        <w:rPr>
          <w:rFonts w:ascii="仿宋_GB2312" w:hAnsi="仿宋_GB2312" w:cs="仿宋_GB2312" w:eastAsia="仿宋_GB2312"/>
        </w:rPr>
        <w:t>联系电话：029-88811050</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勉县城镇生活垃圾转运处理设施设备更新项目（一期）江北生活垃圾压缩转运站成套压缩设备采购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5,072,000.00</w:t>
      </w:r>
    </w:p>
    <w:p>
      <w:pPr>
        <w:pStyle w:val="null3"/>
      </w:pPr>
      <w:r>
        <w:rPr>
          <w:rFonts w:ascii="仿宋_GB2312" w:hAnsi="仿宋_GB2312" w:cs="仿宋_GB2312" w:eastAsia="仿宋_GB2312"/>
        </w:rPr>
        <w:t>采购包最高限价（元）: 5,072,000.00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压缩转运站成套压缩设备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5,072,000.00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标的名称：压缩转运站成套压缩设备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FF"/>
              </w:rPr>
              <w:t>一、项目概况：</w:t>
            </w:r>
          </w:p>
          <w:p>
            <w:pPr>
              <w:pStyle w:val="null3"/>
              <w:ind w:firstLine="420"/>
            </w:pPr>
            <w:r>
              <w:rPr>
                <w:rFonts w:ascii="仿宋_GB2312" w:hAnsi="仿宋_GB2312" w:cs="仿宋_GB2312" w:eastAsia="仿宋_GB2312"/>
                <w:sz w:val="21"/>
                <w:color w:val="0000FF"/>
              </w:rPr>
              <w:t>勉县城镇生活垃圾转运处理设施设备更新项目（一期）江北生活垃圾压缩转运站成套压缩设备采购</w:t>
            </w:r>
          </w:p>
          <w:p>
            <w:pPr>
              <w:pStyle w:val="null3"/>
            </w:pPr>
            <w:r>
              <w:rPr>
                <w:rFonts w:ascii="仿宋_GB2312" w:hAnsi="仿宋_GB2312" w:cs="仿宋_GB2312" w:eastAsia="仿宋_GB2312"/>
                <w:sz w:val="21"/>
                <w:b/>
                <w:color w:val="0000FF"/>
              </w:rPr>
              <w:t>二、采购标的：</w:t>
            </w:r>
          </w:p>
          <w:tbl>
            <w:tblPr>
              <w:tblBorders>
                <w:top w:val="none" w:color="000000" w:sz="4"/>
                <w:left w:val="none" w:color="000000" w:sz="4"/>
                <w:bottom w:val="none" w:color="000000" w:sz="4"/>
                <w:right w:val="none" w:color="000000" w:sz="4"/>
                <w:insideH w:val="none"/>
                <w:insideV w:val="none"/>
              </w:tblBorders>
            </w:tblPr>
            <w:tblGrid>
              <w:gridCol w:w="402"/>
              <w:gridCol w:w="1119"/>
              <w:gridCol w:w="572"/>
              <w:gridCol w:w="458"/>
            </w:tblGrid>
            <w:tr>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序号</w:t>
                  </w:r>
                </w:p>
              </w:tc>
              <w:tc>
                <w:tcPr>
                  <w:tcW w:type="dxa" w:w="1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名称</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数量</w:t>
                  </w:r>
                </w:p>
              </w:tc>
              <w:tc>
                <w:tcPr>
                  <w:tcW w:type="dxa" w:w="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备注</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水平直压式压缩机</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2套</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核心产品</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移箱平台</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2套</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垃圾箱</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中央控制系统</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2套</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5</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视频监控</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2套</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6</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交通指挥系统</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2套</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7</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语音广播系统</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1套</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8</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大屏显示系统</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1套</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9</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负压抽风除臭系统</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1套</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10</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料口喷淋降尘系统</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1套</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11</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空间喷淋除臭系统</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1套</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12</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快速卷帘门</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2套</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13</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风幕机</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12套</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14</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高压清洗机</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2套</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15</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25吨车厢可卸式垃圾车</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2辆</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1"/>
                <w:b/>
                <w:color w:val="0000FF"/>
              </w:rPr>
              <w:t>三、采购标的需满足的技术要求：</w:t>
            </w:r>
          </w:p>
          <w:tbl>
            <w:tblPr>
              <w:tblBorders>
                <w:top w:val="none" w:color="000000" w:sz="4"/>
                <w:left w:val="none" w:color="000000" w:sz="4"/>
                <w:bottom w:val="none" w:color="000000" w:sz="4"/>
                <w:right w:val="none" w:color="000000" w:sz="4"/>
                <w:insideH w:val="none"/>
                <w:insideV w:val="none"/>
              </w:tblBorders>
            </w:tblPr>
            <w:tblGrid>
              <w:gridCol w:w="319"/>
              <w:gridCol w:w="319"/>
              <w:gridCol w:w="319"/>
              <w:gridCol w:w="1596"/>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序号</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名称</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数量</w:t>
                  </w:r>
                </w:p>
              </w:tc>
              <w:tc>
                <w:tcPr>
                  <w:tcW w:type="dxa" w:w="15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技术参数及要求</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水平直压式压缩机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2套</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1.推拉箱装置应采用单油缸驱动，推拉钩应直接作用在垃圾箱体上，中间无任何辅助机构，实现机箱对接与分离</w:t>
                  </w:r>
                  <w:r>
                    <w:rPr>
                      <w:rFonts w:ascii="仿宋_GB2312" w:hAnsi="仿宋_GB2312" w:cs="仿宋_GB2312" w:eastAsia="仿宋_GB2312"/>
                      <w:sz w:val="21"/>
                      <w:color w:val="0000FF"/>
                    </w:rPr>
                    <w:t>。</w:t>
                  </w:r>
                  <w:r>
                    <w:rPr>
                      <w:rFonts w:ascii="仿宋_GB2312" w:hAnsi="仿宋_GB2312" w:cs="仿宋_GB2312" w:eastAsia="仿宋_GB2312"/>
                      <w:sz w:val="21"/>
                      <w:color w:val="0000FF"/>
                    </w:rPr>
                    <w:t>机箱分离后（推拉钩完全伸出）机、箱距离</w:t>
                  </w:r>
                  <w:r>
                    <w:rPr>
                      <w:rFonts w:ascii="仿宋_GB2312" w:hAnsi="仿宋_GB2312" w:cs="仿宋_GB2312" w:eastAsia="仿宋_GB2312"/>
                      <w:sz w:val="21"/>
                      <w:color w:val="0000FF"/>
                    </w:rPr>
                    <w:t>≤400mm。</w:t>
                  </w:r>
                </w:p>
                <w:p>
                  <w:pPr>
                    <w:pStyle w:val="null3"/>
                    <w:jc w:val="left"/>
                  </w:pPr>
                  <w:r>
                    <w:rPr>
                      <w:rFonts w:ascii="仿宋_GB2312" w:hAnsi="仿宋_GB2312" w:cs="仿宋_GB2312" w:eastAsia="仿宋_GB2312"/>
                      <w:sz w:val="21"/>
                      <w:color w:val="0000FF"/>
                    </w:rPr>
                    <w:t>2</w:t>
                  </w:r>
                  <w:r>
                    <w:rPr>
                      <w:rFonts w:ascii="仿宋_GB2312" w:hAnsi="仿宋_GB2312" w:cs="仿宋_GB2312" w:eastAsia="仿宋_GB2312"/>
                      <w:sz w:val="21"/>
                      <w:color w:val="0000FF"/>
                    </w:rPr>
                    <w:t>.锁紧装置需采用连杆机构，由油缸驱动，需具有水平移动拉紧、松开箱体的功能，机箱锁紧需由油缸伸出动作完成，需采用机构死点进行锁紧，锁紧时油缸不受力。</w:t>
                  </w:r>
                </w:p>
                <w:p>
                  <w:pPr>
                    <w:pStyle w:val="null3"/>
                    <w:jc w:val="left"/>
                  </w:pPr>
                  <w:r>
                    <w:rPr>
                      <w:rFonts w:ascii="仿宋_GB2312" w:hAnsi="仿宋_GB2312" w:cs="仿宋_GB2312" w:eastAsia="仿宋_GB2312"/>
                      <w:sz w:val="21"/>
                      <w:color w:val="0000FF"/>
                    </w:rPr>
                    <w:t>3</w:t>
                  </w:r>
                  <w:r>
                    <w:rPr>
                      <w:rFonts w:ascii="仿宋_GB2312" w:hAnsi="仿宋_GB2312" w:cs="仿宋_GB2312" w:eastAsia="仿宋_GB2312"/>
                      <w:sz w:val="21"/>
                      <w:color w:val="0000FF"/>
                    </w:rPr>
                    <w:t>.提门装置需采用单油缸驱动。</w:t>
                  </w:r>
                </w:p>
                <w:p>
                  <w:pPr>
                    <w:pStyle w:val="null3"/>
                    <w:jc w:val="left"/>
                  </w:pPr>
                  <w:r>
                    <w:rPr>
                      <w:rFonts w:ascii="仿宋_GB2312" w:hAnsi="仿宋_GB2312" w:cs="仿宋_GB2312" w:eastAsia="仿宋_GB2312"/>
                      <w:sz w:val="21"/>
                      <w:color w:val="0000FF"/>
                    </w:rPr>
                    <w:t>4</w:t>
                  </w:r>
                  <w:r>
                    <w:rPr>
                      <w:rFonts w:ascii="仿宋_GB2312" w:hAnsi="仿宋_GB2312" w:cs="仿宋_GB2312" w:eastAsia="仿宋_GB2312"/>
                      <w:sz w:val="21"/>
                      <w:color w:val="0000FF"/>
                    </w:rPr>
                    <w:t>.压缩腔底板厚度≥12mm，侧板厚度≥10mm，并采用高强度、耐磨钢板，硬度≥450HB，屈服强度≥1100MPa。</w:t>
                  </w:r>
                </w:p>
                <w:p>
                  <w:pPr>
                    <w:pStyle w:val="null3"/>
                    <w:jc w:val="left"/>
                  </w:pPr>
                  <w:r>
                    <w:rPr>
                      <w:rFonts w:ascii="仿宋_GB2312" w:hAnsi="仿宋_GB2312" w:cs="仿宋_GB2312" w:eastAsia="仿宋_GB2312"/>
                      <w:sz w:val="21"/>
                      <w:color w:val="0000FF"/>
                    </w:rPr>
                    <w:t>5</w:t>
                  </w:r>
                  <w:r>
                    <w:rPr>
                      <w:rFonts w:ascii="仿宋_GB2312" w:hAnsi="仿宋_GB2312" w:cs="仿宋_GB2312" w:eastAsia="仿宋_GB2312"/>
                      <w:sz w:val="21"/>
                      <w:color w:val="0000FF"/>
                    </w:rPr>
                    <w:t>.机体后部两侧及尾部需设置检修门，便于维护保养。</w:t>
                  </w:r>
                </w:p>
                <w:p>
                  <w:pPr>
                    <w:pStyle w:val="null3"/>
                    <w:jc w:val="left"/>
                  </w:pPr>
                  <w:r>
                    <w:rPr>
                      <w:rFonts w:ascii="仿宋_GB2312" w:hAnsi="仿宋_GB2312" w:cs="仿宋_GB2312" w:eastAsia="仿宋_GB2312"/>
                      <w:sz w:val="21"/>
                      <w:color w:val="0000FF"/>
                    </w:rPr>
                    <w:t>6</w:t>
                  </w:r>
                  <w:r>
                    <w:rPr>
                      <w:rFonts w:ascii="仿宋_GB2312" w:hAnsi="仿宋_GB2312" w:cs="仿宋_GB2312" w:eastAsia="仿宋_GB2312"/>
                      <w:sz w:val="21"/>
                      <w:color w:val="0000FF"/>
                    </w:rPr>
                    <w:t>.推头需采用滚轮滚动运行方式，并在推头两侧设置导向滚轮。推头需直接与垃圾接触，中间无其他机构。</w:t>
                  </w:r>
                </w:p>
                <w:p>
                  <w:pPr>
                    <w:pStyle w:val="null3"/>
                    <w:jc w:val="left"/>
                  </w:pPr>
                  <w:r>
                    <w:rPr>
                      <w:rFonts w:ascii="仿宋_GB2312" w:hAnsi="仿宋_GB2312" w:cs="仿宋_GB2312" w:eastAsia="仿宋_GB2312"/>
                      <w:sz w:val="21"/>
                      <w:color w:val="0000FF"/>
                    </w:rPr>
                    <w:t>7</w:t>
                  </w:r>
                  <w:r>
                    <w:rPr>
                      <w:rFonts w:ascii="仿宋_GB2312" w:hAnsi="仿宋_GB2312" w:cs="仿宋_GB2312" w:eastAsia="仿宋_GB2312"/>
                      <w:sz w:val="21"/>
                      <w:color w:val="0000FF"/>
                    </w:rPr>
                    <w:t>.推头顶部与压缩腔体之间需设置有自补偿密封装置，减少残余垃圾进入后腔体。推头运行需采用激光测距位移传感技术，对推头进行全行程感应。</w:t>
                  </w:r>
                </w:p>
                <w:p>
                  <w:pPr>
                    <w:pStyle w:val="null3"/>
                    <w:jc w:val="left"/>
                  </w:pPr>
                  <w:r>
                    <w:rPr>
                      <w:rFonts w:ascii="仿宋_GB2312" w:hAnsi="仿宋_GB2312" w:cs="仿宋_GB2312" w:eastAsia="仿宋_GB2312"/>
                      <w:sz w:val="21"/>
                      <w:color w:val="0000FF"/>
                    </w:rPr>
                    <w:t>8</w:t>
                  </w:r>
                  <w:r>
                    <w:rPr>
                      <w:rFonts w:ascii="仿宋_GB2312" w:hAnsi="仿宋_GB2312" w:cs="仿宋_GB2312" w:eastAsia="仿宋_GB2312"/>
                      <w:sz w:val="21"/>
                      <w:color w:val="0000FF"/>
                    </w:rPr>
                    <w:t>.主压缩油缸与油缸支座间需设计弹性结构，确保油缸受到冲击、偏载时有一定的缓冲能力。</w:t>
                  </w:r>
                </w:p>
                <w:p>
                  <w:pPr>
                    <w:pStyle w:val="null3"/>
                    <w:jc w:val="left"/>
                  </w:pPr>
                  <w:r>
                    <w:rPr>
                      <w:rFonts w:ascii="仿宋_GB2312" w:hAnsi="仿宋_GB2312" w:cs="仿宋_GB2312" w:eastAsia="仿宋_GB2312"/>
                      <w:sz w:val="21"/>
                      <w:color w:val="0000FF"/>
                    </w:rPr>
                    <w:t>9</w:t>
                  </w:r>
                  <w:r>
                    <w:rPr>
                      <w:rFonts w:ascii="仿宋_GB2312" w:hAnsi="仿宋_GB2312" w:cs="仿宋_GB2312" w:eastAsia="仿宋_GB2312"/>
                      <w:sz w:val="21"/>
                      <w:color w:val="0000FF"/>
                    </w:rPr>
                    <w:t>.压缩机污水箱需采用全密闭式设计，其表面设有维护门，内部需设置可拆卸式格栅篓滤渣装置。</w:t>
                  </w:r>
                </w:p>
                <w:p>
                  <w:pPr>
                    <w:pStyle w:val="null3"/>
                    <w:jc w:val="left"/>
                  </w:pPr>
                  <w:r>
                    <w:rPr>
                      <w:rFonts w:ascii="仿宋_GB2312" w:hAnsi="仿宋_GB2312" w:cs="仿宋_GB2312" w:eastAsia="仿宋_GB2312"/>
                      <w:sz w:val="21"/>
                      <w:color w:val="0000FF"/>
                    </w:rPr>
                    <w:t>10</w:t>
                  </w:r>
                  <w:r>
                    <w:rPr>
                      <w:rFonts w:ascii="仿宋_GB2312" w:hAnsi="仿宋_GB2312" w:cs="仿宋_GB2312" w:eastAsia="仿宋_GB2312"/>
                      <w:sz w:val="21"/>
                      <w:color w:val="0000FF"/>
                    </w:rPr>
                    <w:t>.机电液一体化，即液压泵站及电控箱均布置在压缩机上。</w:t>
                  </w:r>
                </w:p>
                <w:p>
                  <w:pPr>
                    <w:pStyle w:val="null3"/>
                    <w:jc w:val="left"/>
                  </w:pPr>
                  <w:r>
                    <w:rPr>
                      <w:rFonts w:ascii="仿宋_GB2312" w:hAnsi="仿宋_GB2312" w:cs="仿宋_GB2312" w:eastAsia="仿宋_GB2312"/>
                      <w:sz w:val="21"/>
                      <w:color w:val="0000FF"/>
                    </w:rPr>
                    <w:t>11</w:t>
                  </w:r>
                  <w:r>
                    <w:rPr>
                      <w:rFonts w:ascii="仿宋_GB2312" w:hAnsi="仿宋_GB2312" w:cs="仿宋_GB2312" w:eastAsia="仿宋_GB2312"/>
                      <w:sz w:val="21"/>
                      <w:color w:val="0000FF"/>
                    </w:rPr>
                    <w:t>.主压缩油缸缸径≥160mm。</w:t>
                  </w:r>
                </w:p>
                <w:p>
                  <w:pPr>
                    <w:pStyle w:val="null3"/>
                    <w:jc w:val="left"/>
                  </w:pPr>
                  <w:r>
                    <w:rPr>
                      <w:rFonts w:ascii="仿宋_GB2312" w:hAnsi="仿宋_GB2312" w:cs="仿宋_GB2312" w:eastAsia="仿宋_GB2312"/>
                      <w:sz w:val="21"/>
                      <w:color w:val="0000FF"/>
                    </w:rPr>
                    <w:t>12</w:t>
                  </w:r>
                  <w:r>
                    <w:rPr>
                      <w:rFonts w:ascii="仿宋_GB2312" w:hAnsi="仿宋_GB2312" w:cs="仿宋_GB2312" w:eastAsia="仿宋_GB2312"/>
                      <w:sz w:val="21"/>
                      <w:color w:val="0000FF"/>
                    </w:rPr>
                    <w:t>.操作台上需设置可操作的触摸屏，触摸屏尺寸≥7’。</w:t>
                  </w:r>
                </w:p>
                <w:p>
                  <w:pPr>
                    <w:pStyle w:val="null3"/>
                    <w:jc w:val="left"/>
                  </w:pPr>
                  <w:r>
                    <w:rPr>
                      <w:rFonts w:ascii="仿宋_GB2312" w:hAnsi="仿宋_GB2312" w:cs="仿宋_GB2312" w:eastAsia="仿宋_GB2312"/>
                      <w:sz w:val="21"/>
                      <w:color w:val="0000FF"/>
                    </w:rPr>
                    <w:t>13</w:t>
                  </w:r>
                  <w:r>
                    <w:rPr>
                      <w:rFonts w:ascii="仿宋_GB2312" w:hAnsi="仿宋_GB2312" w:cs="仿宋_GB2312" w:eastAsia="仿宋_GB2312"/>
                      <w:sz w:val="21"/>
                      <w:color w:val="0000FF"/>
                    </w:rPr>
                    <w:t>.电控系统需采用PLC控制，可实现自动推拉垃圾箱、自动启闭锁紧钩、自动启闭垃圾箱门、自动压缩垃圾等动作。电气控制系统需是制造商独立开发的，并有完全的自主产权。</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14</w:t>
                  </w:r>
                  <w:r>
                    <w:rPr>
                      <w:rFonts w:ascii="仿宋_GB2312" w:hAnsi="仿宋_GB2312" w:cs="仿宋_GB2312" w:eastAsia="仿宋_GB2312"/>
                      <w:sz w:val="21"/>
                      <w:color w:val="0000FF"/>
                    </w:rPr>
                    <w:t>.理论处理垃圾量≥20t/h。</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15</w:t>
                  </w:r>
                  <w:r>
                    <w:rPr>
                      <w:rFonts w:ascii="仿宋_GB2312" w:hAnsi="仿宋_GB2312" w:cs="仿宋_GB2312" w:eastAsia="仿宋_GB2312"/>
                      <w:sz w:val="21"/>
                      <w:color w:val="0000FF"/>
                    </w:rPr>
                    <w:t>.最大压缩力≥420kN。</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16</w:t>
                  </w:r>
                  <w:r>
                    <w:rPr>
                      <w:rFonts w:ascii="仿宋_GB2312" w:hAnsi="仿宋_GB2312" w:cs="仿宋_GB2312" w:eastAsia="仿宋_GB2312"/>
                      <w:sz w:val="21"/>
                      <w:color w:val="0000FF"/>
                    </w:rPr>
                    <w:t>.压头（推头）行程≥2600mm。</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17</w:t>
                  </w:r>
                  <w:r>
                    <w:rPr>
                      <w:rFonts w:ascii="仿宋_GB2312" w:hAnsi="仿宋_GB2312" w:cs="仿宋_GB2312" w:eastAsia="仿宋_GB2312"/>
                      <w:sz w:val="21"/>
                      <w:color w:val="0000FF"/>
                    </w:rPr>
                    <w:t>.机体投料口尺寸（长×宽）：1890×1850mm（±60mm）。</w:t>
                  </w:r>
                </w:p>
                <w:p>
                  <w:pPr>
                    <w:pStyle w:val="null3"/>
                    <w:jc w:val="left"/>
                  </w:pPr>
                  <w:r>
                    <w:rPr>
                      <w:rFonts w:ascii="仿宋_GB2312" w:hAnsi="仿宋_GB2312" w:cs="仿宋_GB2312" w:eastAsia="仿宋_GB2312"/>
                      <w:sz w:val="21"/>
                      <w:color w:val="0000FF"/>
                    </w:rPr>
                    <w:t>18</w:t>
                  </w:r>
                  <w:r>
                    <w:rPr>
                      <w:rFonts w:ascii="仿宋_GB2312" w:hAnsi="仿宋_GB2312" w:cs="仿宋_GB2312" w:eastAsia="仿宋_GB2312"/>
                      <w:sz w:val="21"/>
                      <w:color w:val="0000FF"/>
                    </w:rPr>
                    <w:t>.压缩腔容积≥2.4m³。</w:t>
                  </w:r>
                </w:p>
                <w:p>
                  <w:pPr>
                    <w:pStyle w:val="null3"/>
                    <w:jc w:val="left"/>
                  </w:pPr>
                  <w:r>
                    <w:rPr>
                      <w:rFonts w:ascii="仿宋_GB2312" w:hAnsi="仿宋_GB2312" w:cs="仿宋_GB2312" w:eastAsia="仿宋_GB2312"/>
                      <w:sz w:val="21"/>
                      <w:color w:val="0000FF"/>
                    </w:rPr>
                    <w:t>19</w:t>
                  </w:r>
                  <w:r>
                    <w:rPr>
                      <w:rFonts w:ascii="仿宋_GB2312" w:hAnsi="仿宋_GB2312" w:cs="仿宋_GB2312" w:eastAsia="仿宋_GB2312"/>
                      <w:sz w:val="21"/>
                      <w:color w:val="0000FF"/>
                    </w:rPr>
                    <w:t>.泵站电机功率≥10kw。</w:t>
                  </w:r>
                </w:p>
                <w:p>
                  <w:pPr>
                    <w:pStyle w:val="null3"/>
                    <w:jc w:val="left"/>
                  </w:pPr>
                  <w:r>
                    <w:rPr>
                      <w:rFonts w:ascii="仿宋_GB2312" w:hAnsi="仿宋_GB2312" w:cs="仿宋_GB2312" w:eastAsia="仿宋_GB2312"/>
                      <w:sz w:val="21"/>
                      <w:color w:val="0000FF"/>
                    </w:rPr>
                    <w:t>注：</w:t>
                  </w:r>
                  <w:r>
                    <w:rPr>
                      <w:rFonts w:ascii="仿宋_GB2312" w:hAnsi="仿宋_GB2312" w:cs="仿宋_GB2312" w:eastAsia="仿宋_GB2312"/>
                      <w:sz w:val="21"/>
                      <w:color w:val="0000FF"/>
                    </w:rPr>
                    <w:t>“▲”项需提供省级或省级以上质量监督检验中心(且具备CMA及 CNAS资质)出具的有效检验报告证明。</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移箱平台</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2套</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1.平台型式：双平台串联式</w:t>
                  </w:r>
                </w:p>
                <w:p>
                  <w:pPr>
                    <w:pStyle w:val="null3"/>
                    <w:spacing w:after="120"/>
                    <w:jc w:val="left"/>
                  </w:pPr>
                  <w:r>
                    <w:rPr>
                      <w:rFonts w:ascii="仿宋_GB2312" w:hAnsi="仿宋_GB2312" w:cs="仿宋_GB2312" w:eastAsia="仿宋_GB2312"/>
                      <w:sz w:val="21"/>
                      <w:color w:val="0000FF"/>
                    </w:rPr>
                    <w:t>2.平移距离≤3000 mm</w:t>
                  </w:r>
                </w:p>
                <w:p>
                  <w:pPr>
                    <w:pStyle w:val="null3"/>
                    <w:spacing w:after="120"/>
                    <w:jc w:val="left"/>
                  </w:pPr>
                  <w:r>
                    <w:rPr>
                      <w:rFonts w:ascii="仿宋_GB2312" w:hAnsi="仿宋_GB2312" w:cs="仿宋_GB2312" w:eastAsia="仿宋_GB2312"/>
                      <w:sz w:val="21"/>
                      <w:color w:val="0000FF"/>
                    </w:rPr>
                    <w:t>3.平移速度：60-70mm/s</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垃圾箱</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4个</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1.垃圾箱整体需采用骨架少筋结构，箱体截面应为方形截面，箱体及卸料门应采用不低于Q345材质的钢板。</w:t>
                  </w:r>
                </w:p>
                <w:p>
                  <w:pPr>
                    <w:pStyle w:val="null3"/>
                    <w:spacing w:after="120"/>
                    <w:jc w:val="left"/>
                  </w:pPr>
                  <w:r>
                    <w:rPr>
                      <w:rFonts w:ascii="仿宋_GB2312" w:hAnsi="仿宋_GB2312" w:cs="仿宋_GB2312" w:eastAsia="仿宋_GB2312"/>
                      <w:sz w:val="21"/>
                      <w:color w:val="0000FF"/>
                    </w:rPr>
                    <w:t>2.垃圾箱顶部需设置有排气孔，确保垃圾压缩进箱体时气流合理排出。</w:t>
                  </w:r>
                </w:p>
                <w:p>
                  <w:pPr>
                    <w:pStyle w:val="null3"/>
                    <w:spacing w:after="120"/>
                    <w:jc w:val="left"/>
                  </w:pPr>
                  <w:r>
                    <w:rPr>
                      <w:rFonts w:ascii="仿宋_GB2312" w:hAnsi="仿宋_GB2312" w:cs="仿宋_GB2312" w:eastAsia="仿宋_GB2312"/>
                      <w:sz w:val="21"/>
                      <w:color w:val="0000FF"/>
                    </w:rPr>
                    <w:t>3.垃圾箱尾部需采用三门（卸料门+闸门+密封门）结构，卸料门需采用门框式结构，内置闸门，可与压缩机的提门机构对接，可上下提升；卸料门的外框需通过液压锁紧机构与箱体后部紧闭，外框在与压缩机对接时，两对接面间应有密封胶条，使压缩过程中无污水滴漏；最外侧密封门，在垃圾运输过程中使闸门中下部保持密闭。</w:t>
                  </w:r>
                </w:p>
                <w:p>
                  <w:pPr>
                    <w:pStyle w:val="null3"/>
                    <w:spacing w:after="120"/>
                    <w:jc w:val="left"/>
                  </w:pPr>
                  <w:r>
                    <w:rPr>
                      <w:rFonts w:ascii="仿宋_GB2312" w:hAnsi="仿宋_GB2312" w:cs="仿宋_GB2312" w:eastAsia="仿宋_GB2312"/>
                      <w:sz w:val="21"/>
                      <w:color w:val="0000FF"/>
                    </w:rPr>
                    <w:t>4</w:t>
                  </w:r>
                  <w:r>
                    <w:rPr>
                      <w:rFonts w:ascii="仿宋_GB2312" w:hAnsi="仿宋_GB2312" w:cs="仿宋_GB2312" w:eastAsia="仿宋_GB2312"/>
                      <w:sz w:val="21"/>
                      <w:color w:val="0000FF"/>
                    </w:rPr>
                    <w:t>.卸料门内侧需有带滤水孔板及污水导流通道，使污水快速流走。卸料门需设置推拉座，与压缩机推拉箱机构配合。</w:t>
                  </w:r>
                </w:p>
                <w:p>
                  <w:pPr>
                    <w:pStyle w:val="null3"/>
                    <w:spacing w:after="120"/>
                    <w:jc w:val="left"/>
                  </w:pPr>
                  <w:r>
                    <w:rPr>
                      <w:rFonts w:ascii="仿宋_GB2312" w:hAnsi="仿宋_GB2312" w:cs="仿宋_GB2312" w:eastAsia="仿宋_GB2312"/>
                      <w:sz w:val="21"/>
                      <w:color w:val="0000FF"/>
                    </w:rPr>
                    <w:t>5</w:t>
                  </w:r>
                  <w:r>
                    <w:rPr>
                      <w:rFonts w:ascii="仿宋_GB2312" w:hAnsi="仿宋_GB2312" w:cs="仿宋_GB2312" w:eastAsia="仿宋_GB2312"/>
                      <w:sz w:val="21"/>
                      <w:color w:val="0000FF"/>
                    </w:rPr>
                    <w:t>.为保证垃圾箱在站内和行驶过程中的密封性能，垃圾箱卸料门需采用多点锁紧（≥4处），并能对密封条压缩量进行调节。</w:t>
                  </w:r>
                </w:p>
                <w:p>
                  <w:pPr>
                    <w:pStyle w:val="null3"/>
                    <w:spacing w:after="120"/>
                    <w:jc w:val="left"/>
                  </w:pPr>
                  <w:r>
                    <w:rPr>
                      <w:rFonts w:ascii="仿宋_GB2312" w:hAnsi="仿宋_GB2312" w:cs="仿宋_GB2312" w:eastAsia="仿宋_GB2312"/>
                      <w:sz w:val="21"/>
                      <w:color w:val="0000FF"/>
                    </w:rPr>
                    <w:t>6</w:t>
                  </w:r>
                  <w:r>
                    <w:rPr>
                      <w:rFonts w:ascii="仿宋_GB2312" w:hAnsi="仿宋_GB2312" w:cs="仿宋_GB2312" w:eastAsia="仿宋_GB2312"/>
                      <w:sz w:val="21"/>
                      <w:color w:val="0000FF"/>
                    </w:rPr>
                    <w:t>.垃圾箱需设置4个冲洗口和2个排水口，每个冲洗口尺寸不小于100mm×50mm。</w:t>
                  </w:r>
                </w:p>
                <w:p>
                  <w:pPr>
                    <w:pStyle w:val="null3"/>
                    <w:spacing w:after="120"/>
                    <w:jc w:val="left"/>
                  </w:pPr>
                  <w:r>
                    <w:rPr>
                      <w:rFonts w:ascii="仿宋_GB2312" w:hAnsi="仿宋_GB2312" w:cs="仿宋_GB2312" w:eastAsia="仿宋_GB2312"/>
                      <w:sz w:val="21"/>
                      <w:color w:val="0000FF"/>
                    </w:rPr>
                    <w:t>7</w:t>
                  </w:r>
                  <w:r>
                    <w:rPr>
                      <w:rFonts w:ascii="仿宋_GB2312" w:hAnsi="仿宋_GB2312" w:cs="仿宋_GB2312" w:eastAsia="仿宋_GB2312"/>
                      <w:sz w:val="21"/>
                      <w:color w:val="0000FF"/>
                    </w:rPr>
                    <w:t>.容积≥22m³。</w:t>
                  </w:r>
                </w:p>
                <w:p>
                  <w:pPr>
                    <w:pStyle w:val="null3"/>
                    <w:spacing w:after="120"/>
                    <w:jc w:val="left"/>
                  </w:pPr>
                  <w:r>
                    <w:rPr>
                      <w:rFonts w:ascii="仿宋_GB2312" w:hAnsi="仿宋_GB2312" w:cs="仿宋_GB2312" w:eastAsia="仿宋_GB2312"/>
                      <w:sz w:val="21"/>
                      <w:color w:val="0000FF"/>
                    </w:rPr>
                    <w:t>8</w:t>
                  </w:r>
                  <w:r>
                    <w:rPr>
                      <w:rFonts w:ascii="仿宋_GB2312" w:hAnsi="仿宋_GB2312" w:cs="仿宋_GB2312" w:eastAsia="仿宋_GB2312"/>
                      <w:sz w:val="21"/>
                      <w:color w:val="0000FF"/>
                    </w:rPr>
                    <w:t>.外形尺寸（长×宽×高）：6000×2520×2580mm（±100mm）。</w:t>
                  </w:r>
                </w:p>
                <w:p>
                  <w:pPr>
                    <w:pStyle w:val="null3"/>
                    <w:spacing w:after="120"/>
                    <w:jc w:val="left"/>
                  </w:pPr>
                  <w:r>
                    <w:rPr>
                      <w:rFonts w:ascii="仿宋_GB2312" w:hAnsi="仿宋_GB2312" w:cs="仿宋_GB2312" w:eastAsia="仿宋_GB2312"/>
                      <w:sz w:val="21"/>
                      <w:color w:val="0000FF"/>
                    </w:rPr>
                    <w:t>9</w:t>
                  </w:r>
                  <w:r>
                    <w:rPr>
                      <w:rFonts w:ascii="仿宋_GB2312" w:hAnsi="仿宋_GB2312" w:cs="仿宋_GB2312" w:eastAsia="仿宋_GB2312"/>
                      <w:sz w:val="21"/>
                      <w:color w:val="0000FF"/>
                    </w:rPr>
                    <w:t>.垃圾箱自重：≤5000kg。</w:t>
                  </w:r>
                </w:p>
                <w:p>
                  <w:pPr>
                    <w:pStyle w:val="null3"/>
                    <w:spacing w:after="120"/>
                    <w:jc w:val="left"/>
                  </w:pPr>
                  <w:r>
                    <w:rPr>
                      <w:rFonts w:ascii="仿宋_GB2312" w:hAnsi="仿宋_GB2312" w:cs="仿宋_GB2312" w:eastAsia="仿宋_GB2312"/>
                      <w:sz w:val="21"/>
                      <w:color w:val="0000FF"/>
                    </w:rPr>
                    <w:t>10</w:t>
                  </w:r>
                  <w:r>
                    <w:rPr>
                      <w:rFonts w:ascii="仿宋_GB2312" w:hAnsi="仿宋_GB2312" w:cs="仿宋_GB2312" w:eastAsia="仿宋_GB2312"/>
                      <w:sz w:val="21"/>
                      <w:color w:val="0000FF"/>
                    </w:rPr>
                    <w:t>.箱体勾心高度：1570（±10mm）。</w:t>
                  </w:r>
                </w:p>
                <w:p>
                  <w:pPr>
                    <w:pStyle w:val="null3"/>
                    <w:spacing w:after="120"/>
                    <w:jc w:val="left"/>
                  </w:pPr>
                  <w:r>
                    <w:rPr>
                      <w:rFonts w:ascii="仿宋_GB2312" w:hAnsi="仿宋_GB2312" w:cs="仿宋_GB2312" w:eastAsia="仿宋_GB2312"/>
                      <w:sz w:val="21"/>
                      <w:color w:val="0000FF"/>
                    </w:rPr>
                    <w:t>11</w:t>
                  </w:r>
                  <w:r>
                    <w:rPr>
                      <w:rFonts w:ascii="仿宋_GB2312" w:hAnsi="仿宋_GB2312" w:cs="仿宋_GB2312" w:eastAsia="仿宋_GB2312"/>
                      <w:sz w:val="21"/>
                      <w:color w:val="0000FF"/>
                    </w:rPr>
                    <w:t>.箱体板厚：底板≥5mm，侧板≥4mm。</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中央控制系统</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2套</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1.中控软件：1套，SCADA组态软件。工控机：1台，内存≥16G，硬盘≥512G ssd+1T hdd 。显示器：1台，液晶显示器≥23.8英寸，分辨率≥1920*1080。</w:t>
                  </w:r>
                </w:p>
                <w:p>
                  <w:pPr>
                    <w:pStyle w:val="null3"/>
                    <w:spacing w:after="120"/>
                    <w:jc w:val="left"/>
                  </w:pPr>
                  <w:r>
                    <w:rPr>
                      <w:rFonts w:ascii="仿宋_GB2312" w:hAnsi="仿宋_GB2312" w:cs="仿宋_GB2312" w:eastAsia="仿宋_GB2312"/>
                      <w:sz w:val="21"/>
                      <w:color w:val="0000FF"/>
                    </w:rPr>
                    <w:t>2</w:t>
                  </w:r>
                  <w:r>
                    <w:rPr>
                      <w:rFonts w:ascii="仿宋_GB2312" w:hAnsi="仿宋_GB2312" w:cs="仿宋_GB2312" w:eastAsia="仿宋_GB2312"/>
                      <w:sz w:val="21"/>
                      <w:color w:val="0000FF"/>
                    </w:rPr>
                    <w:t>.钢制操作台：1张，应为双工位，桌面材质应选用优质冷轧钢板。配套椅子：1把，应为黑色靠背网面，应带滚轮。</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视频监控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2套</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1.红外阵列筒型网络摄像机（6台）：像素：≥400万；</w:t>
                  </w:r>
                </w:p>
                <w:p>
                  <w:pPr>
                    <w:pStyle w:val="null3"/>
                    <w:spacing w:after="120"/>
                    <w:jc w:val="left"/>
                  </w:pPr>
                  <w:r>
                    <w:rPr>
                      <w:rFonts w:ascii="仿宋_GB2312" w:hAnsi="仿宋_GB2312" w:cs="仿宋_GB2312" w:eastAsia="仿宋_GB2312"/>
                      <w:sz w:val="21"/>
                      <w:color w:val="0000FF"/>
                    </w:rPr>
                    <w:t>日夜转换模式：</w:t>
                  </w:r>
                  <w:r>
                    <w:rPr>
                      <w:rFonts w:ascii="仿宋_GB2312" w:hAnsi="仿宋_GB2312" w:cs="仿宋_GB2312" w:eastAsia="仿宋_GB2312"/>
                      <w:sz w:val="21"/>
                      <w:color w:val="0000FF"/>
                    </w:rPr>
                    <w:t>ICR红外滤片式；最大图像尺寸：≥2560×1440；防护等级：≥IP67；红外照射距离：≥50米；</w:t>
                  </w:r>
                </w:p>
                <w:p>
                  <w:pPr>
                    <w:pStyle w:val="null3"/>
                    <w:spacing w:after="120"/>
                    <w:jc w:val="left"/>
                  </w:pPr>
                  <w:r>
                    <w:rPr>
                      <w:rFonts w:ascii="仿宋_GB2312" w:hAnsi="仿宋_GB2312" w:cs="仿宋_GB2312" w:eastAsia="仿宋_GB2312"/>
                      <w:sz w:val="21"/>
                      <w:color w:val="0000FF"/>
                    </w:rPr>
                    <w:t>2.红外网络高清球机（1台）：像素：≥400万；红外照射距离：≥150米；日夜模式：自动ICR彩转黑；数字变倍：≥16倍；防护等级：≥IP67；</w:t>
                  </w:r>
                </w:p>
                <w:p>
                  <w:pPr>
                    <w:pStyle w:val="null3"/>
                    <w:spacing w:after="120"/>
                    <w:jc w:val="left"/>
                  </w:pPr>
                  <w:r>
                    <w:rPr>
                      <w:rFonts w:ascii="仿宋_GB2312" w:hAnsi="仿宋_GB2312" w:cs="仿宋_GB2312" w:eastAsia="仿宋_GB2312"/>
                      <w:sz w:val="21"/>
                      <w:color w:val="0000FF"/>
                    </w:rPr>
                    <w:t>3.硬盘录像机（1台）：网络视频输入：≥16路；最大容量：至少支持4盘位，每个接口支持容量≥8TB的硬盘；</w:t>
                  </w:r>
                </w:p>
                <w:p>
                  <w:pPr>
                    <w:pStyle w:val="null3"/>
                    <w:spacing w:after="120"/>
                    <w:jc w:val="left"/>
                  </w:pPr>
                  <w:r>
                    <w:rPr>
                      <w:rFonts w:ascii="仿宋_GB2312" w:hAnsi="仿宋_GB2312" w:cs="仿宋_GB2312" w:eastAsia="仿宋_GB2312"/>
                      <w:sz w:val="21"/>
                      <w:color w:val="0000FF"/>
                    </w:rPr>
                    <w:t>4.硬盘（1片）：容量≥6T；</w:t>
                  </w:r>
                </w:p>
                <w:p>
                  <w:pPr>
                    <w:pStyle w:val="null3"/>
                    <w:spacing w:after="120"/>
                    <w:jc w:val="left"/>
                  </w:pPr>
                  <w:r>
                    <w:rPr>
                      <w:rFonts w:ascii="仿宋_GB2312" w:hAnsi="仿宋_GB2312" w:cs="仿宋_GB2312" w:eastAsia="仿宋_GB2312"/>
                      <w:sz w:val="21"/>
                      <w:color w:val="0000FF"/>
                    </w:rPr>
                    <w:t>5.交换机（1套）：类型：快速以太网交换机；端口数量：≥16个；</w:t>
                  </w:r>
                </w:p>
                <w:p>
                  <w:pPr>
                    <w:pStyle w:val="null3"/>
                    <w:spacing w:after="120"/>
                    <w:jc w:val="left"/>
                  </w:pPr>
                  <w:r>
                    <w:rPr>
                      <w:rFonts w:ascii="仿宋_GB2312" w:hAnsi="仿宋_GB2312" w:cs="仿宋_GB2312" w:eastAsia="仿宋_GB2312"/>
                      <w:sz w:val="21"/>
                      <w:color w:val="0000FF"/>
                    </w:rPr>
                    <w:t>6.液晶显示器（1个）：屏幕尺寸：≥23.8英寸；最佳分辨率：≥1920*1080；</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6</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交通指挥系统</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2套</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1.交通指挥灯组数≥3 组；灯壳材料：铝合金；发光面：红叉绿箭；</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7</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语音广播系统</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1套</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1.功率放大器（1台）：定压定阻功放机，输出功率：≥180W；</w:t>
                  </w:r>
                </w:p>
                <w:p>
                  <w:pPr>
                    <w:pStyle w:val="null3"/>
                    <w:spacing w:after="120"/>
                    <w:jc w:val="left"/>
                  </w:pPr>
                  <w:r>
                    <w:rPr>
                      <w:rFonts w:ascii="仿宋_GB2312" w:hAnsi="仿宋_GB2312" w:cs="仿宋_GB2312" w:eastAsia="仿宋_GB2312"/>
                      <w:sz w:val="21"/>
                      <w:color w:val="0000FF"/>
                    </w:rPr>
                    <w:t>2.音柱（2件）：额定功率：≥60W；</w:t>
                  </w:r>
                </w:p>
                <w:p>
                  <w:pPr>
                    <w:pStyle w:val="null3"/>
                    <w:spacing w:after="120"/>
                    <w:jc w:val="left"/>
                  </w:pPr>
                  <w:r>
                    <w:rPr>
                      <w:rFonts w:ascii="仿宋_GB2312" w:hAnsi="仿宋_GB2312" w:cs="仿宋_GB2312" w:eastAsia="仿宋_GB2312"/>
                      <w:sz w:val="21"/>
                      <w:color w:val="0000FF"/>
                    </w:rPr>
                    <w:t>3.对讲机（4台）：频率范围：400-470MHz；</w:t>
                  </w:r>
                </w:p>
                <w:p>
                  <w:pPr>
                    <w:pStyle w:val="null3"/>
                    <w:spacing w:after="120"/>
                    <w:jc w:val="left"/>
                  </w:pPr>
                  <w:r>
                    <w:rPr>
                      <w:rFonts w:ascii="仿宋_GB2312" w:hAnsi="仿宋_GB2312" w:cs="仿宋_GB2312" w:eastAsia="仿宋_GB2312"/>
                      <w:sz w:val="21"/>
                      <w:color w:val="0000FF"/>
                    </w:rPr>
                    <w:t>4.有线麦克风（1台）：频率响应：60Hz-18KHz；</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8</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大屏显示系统</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1套</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1.彩色液晶显示器（1个）：屏幕尺寸：≥65英寸；屏幕比例：16:9；屏幕分辨率：不低于3840×2160；</w:t>
                  </w:r>
                </w:p>
                <w:p>
                  <w:pPr>
                    <w:pStyle w:val="null3"/>
                    <w:spacing w:after="120"/>
                    <w:jc w:val="left"/>
                  </w:pPr>
                  <w:r>
                    <w:rPr>
                      <w:rFonts w:ascii="仿宋_GB2312" w:hAnsi="仿宋_GB2312" w:cs="仿宋_GB2312" w:eastAsia="仿宋_GB2312"/>
                      <w:sz w:val="21"/>
                      <w:color w:val="0000FF"/>
                    </w:rPr>
                    <w:t>2.硬盘录像机（1台）：网络视频输入：16路；最大容量：至少支持4盘位，每个接口支持容量≥6TB的硬盘；</w:t>
                  </w:r>
                </w:p>
                <w:p>
                  <w:pPr>
                    <w:pStyle w:val="null3"/>
                    <w:spacing w:after="120"/>
                    <w:jc w:val="left"/>
                  </w:pPr>
                  <w:r>
                    <w:rPr>
                      <w:rFonts w:ascii="仿宋_GB2312" w:hAnsi="仿宋_GB2312" w:cs="仿宋_GB2312" w:eastAsia="仿宋_GB2312"/>
                      <w:sz w:val="21"/>
                      <w:color w:val="0000FF"/>
                    </w:rPr>
                    <w:t>3.硬盘（1片）：容量≥4T；</w:t>
                  </w:r>
                </w:p>
                <w:p>
                  <w:pPr>
                    <w:pStyle w:val="null3"/>
                    <w:spacing w:after="120"/>
                    <w:jc w:val="left"/>
                  </w:pPr>
                  <w:r>
                    <w:rPr>
                      <w:rFonts w:ascii="仿宋_GB2312" w:hAnsi="仿宋_GB2312" w:cs="仿宋_GB2312" w:eastAsia="仿宋_GB2312"/>
                      <w:sz w:val="21"/>
                      <w:color w:val="0000FF"/>
                    </w:rPr>
                    <w:t>4.UPS应急电源（1个）：额定容量≥2400W；</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9</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负压抽风除臭系统</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1套</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1.风机：</w:t>
                  </w:r>
                </w:p>
                <w:p>
                  <w:pPr>
                    <w:pStyle w:val="null3"/>
                    <w:spacing w:after="1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1）材质：FRP等工程塑料类；风量(m3/h)：≥30000；</w:t>
                  </w:r>
                </w:p>
                <w:p>
                  <w:pPr>
                    <w:pStyle w:val="null3"/>
                    <w:spacing w:after="1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）功率</w:t>
                  </w:r>
                  <w:r>
                    <w:rPr>
                      <w:rFonts w:ascii="仿宋_GB2312" w:hAnsi="仿宋_GB2312" w:cs="仿宋_GB2312" w:eastAsia="仿宋_GB2312"/>
                      <w:sz w:val="21"/>
                      <w:color w:val="0000FF"/>
                    </w:rPr>
                    <w:t>(kW)：≥22；</w:t>
                  </w:r>
                </w:p>
                <w:p>
                  <w:pPr>
                    <w:pStyle w:val="null3"/>
                    <w:spacing w:after="1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）噪音</w:t>
                  </w:r>
                  <w:r>
                    <w:rPr>
                      <w:rFonts w:ascii="仿宋_GB2312" w:hAnsi="仿宋_GB2312" w:cs="仿宋_GB2312" w:eastAsia="仿宋_GB2312"/>
                      <w:sz w:val="21"/>
                      <w:color w:val="0000FF"/>
                    </w:rPr>
                    <w:t>(dB（A）)：≤85；</w:t>
                  </w:r>
                </w:p>
                <w:p>
                  <w:pPr>
                    <w:pStyle w:val="null3"/>
                    <w:spacing w:after="1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）防护等级：</w:t>
                  </w:r>
                  <w:r>
                    <w:rPr>
                      <w:rFonts w:ascii="仿宋_GB2312" w:hAnsi="仿宋_GB2312" w:cs="仿宋_GB2312" w:eastAsia="仿宋_GB2312"/>
                      <w:sz w:val="21"/>
                      <w:color w:val="0000FF"/>
                    </w:rPr>
                    <w:t>≥IP55；</w:t>
                  </w:r>
                </w:p>
                <w:p>
                  <w:pPr>
                    <w:pStyle w:val="null3"/>
                    <w:spacing w:after="120"/>
                    <w:jc w:val="left"/>
                  </w:pPr>
                  <w:r>
                    <w:rPr>
                      <w:rFonts w:ascii="仿宋_GB2312" w:hAnsi="仿宋_GB2312" w:cs="仿宋_GB2312" w:eastAsia="仿宋_GB2312"/>
                      <w:sz w:val="21"/>
                      <w:color w:val="0000FF"/>
                    </w:rPr>
                    <w:t>2.洗涤塔：</w:t>
                  </w:r>
                </w:p>
                <w:p>
                  <w:pPr>
                    <w:pStyle w:val="null3"/>
                    <w:spacing w:after="1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1）材质：PP等工程塑料类；</w:t>
                  </w:r>
                </w:p>
                <w:p>
                  <w:pPr>
                    <w:pStyle w:val="null3"/>
                    <w:spacing w:after="1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2）尺寸（mm）：Φ2400*5600（±100mm）；</w:t>
                  </w:r>
                </w:p>
                <w:p>
                  <w:pPr>
                    <w:pStyle w:val="null3"/>
                    <w:spacing w:after="1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3）厚度（mm）：≥12；</w:t>
                  </w:r>
                </w:p>
                <w:p>
                  <w:pPr>
                    <w:pStyle w:val="null3"/>
                    <w:spacing w:after="1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4）填料厚度（mm）：≥500；</w:t>
                  </w:r>
                </w:p>
                <w:p>
                  <w:pPr>
                    <w:pStyle w:val="null3"/>
                    <w:spacing w:after="120"/>
                    <w:jc w:val="left"/>
                  </w:pPr>
                  <w:r>
                    <w:rPr>
                      <w:rFonts w:ascii="仿宋_GB2312" w:hAnsi="仿宋_GB2312" w:cs="仿宋_GB2312" w:eastAsia="仿宋_GB2312"/>
                      <w:sz w:val="21"/>
                      <w:color w:val="0000FF"/>
                    </w:rPr>
                    <w:t>3.控制系统：</w:t>
                  </w:r>
                  <w:r>
                    <w:rPr>
                      <w:rFonts w:ascii="仿宋_GB2312" w:hAnsi="仿宋_GB2312" w:cs="仿宋_GB2312" w:eastAsia="仿宋_GB2312"/>
                      <w:sz w:val="21"/>
                      <w:color w:val="0000FF"/>
                    </w:rPr>
                    <w:t>控制方式：</w:t>
                  </w:r>
                  <w:r>
                    <w:rPr>
                      <w:rFonts w:ascii="仿宋_GB2312" w:hAnsi="仿宋_GB2312" w:cs="仿宋_GB2312" w:eastAsia="仿宋_GB2312"/>
                      <w:sz w:val="21"/>
                      <w:color w:val="0000FF"/>
                    </w:rPr>
                    <w:t>PLC控制；触摸屏尺寸：≥7英寸；</w:t>
                  </w:r>
                </w:p>
                <w:p>
                  <w:pPr>
                    <w:pStyle w:val="null3"/>
                    <w:spacing w:after="120"/>
                    <w:jc w:val="left"/>
                  </w:pPr>
                  <w:r>
                    <w:rPr>
                      <w:rFonts w:ascii="仿宋_GB2312" w:hAnsi="仿宋_GB2312" w:cs="仿宋_GB2312" w:eastAsia="仿宋_GB2312"/>
                      <w:sz w:val="21"/>
                      <w:color w:val="0000FF"/>
                    </w:rPr>
                    <w:t>4.循环泵：流量（L/min)：≥1400；扬程（m）：≥12；</w:t>
                  </w:r>
                </w:p>
                <w:p>
                  <w:pPr>
                    <w:pStyle w:val="null3"/>
                    <w:spacing w:after="120"/>
                    <w:jc w:val="left"/>
                  </w:pPr>
                  <w:r>
                    <w:rPr>
                      <w:rFonts w:ascii="仿宋_GB2312" w:hAnsi="仿宋_GB2312" w:cs="仿宋_GB2312" w:eastAsia="仿宋_GB2312"/>
                      <w:sz w:val="21"/>
                      <w:color w:val="0000FF"/>
                    </w:rPr>
                    <w:t>功率</w:t>
                  </w:r>
                  <w:r>
                    <w:rPr>
                      <w:rFonts w:ascii="仿宋_GB2312" w:hAnsi="仿宋_GB2312" w:cs="仿宋_GB2312" w:eastAsia="仿宋_GB2312"/>
                      <w:sz w:val="21"/>
                      <w:color w:val="0000FF"/>
                    </w:rPr>
                    <w:t>(kW)：≥5.5；</w:t>
                  </w:r>
                </w:p>
                <w:p>
                  <w:pPr>
                    <w:pStyle w:val="null3"/>
                    <w:spacing w:after="120"/>
                    <w:jc w:val="left"/>
                  </w:pPr>
                  <w:r>
                    <w:rPr>
                      <w:rFonts w:ascii="仿宋_GB2312" w:hAnsi="仿宋_GB2312" w:cs="仿宋_GB2312" w:eastAsia="仿宋_GB2312"/>
                      <w:sz w:val="21"/>
                      <w:color w:val="0000FF"/>
                    </w:rPr>
                    <w:t>5.除雾器：除雾效率≥80%；</w:t>
                  </w:r>
                </w:p>
                <w:p>
                  <w:pPr>
                    <w:pStyle w:val="null3"/>
                    <w:spacing w:after="120"/>
                    <w:jc w:val="left"/>
                  </w:pPr>
                  <w:r>
                    <w:rPr>
                      <w:rFonts w:ascii="仿宋_GB2312" w:hAnsi="仿宋_GB2312" w:cs="仿宋_GB2312" w:eastAsia="仿宋_GB2312"/>
                      <w:sz w:val="21"/>
                      <w:color w:val="0000FF"/>
                    </w:rPr>
                    <w:t>6</w:t>
                  </w:r>
                  <w:r>
                    <w:rPr>
                      <w:rFonts w:ascii="仿宋_GB2312" w:hAnsi="仿宋_GB2312" w:cs="仿宋_GB2312" w:eastAsia="仿宋_GB2312"/>
                      <w:sz w:val="21"/>
                      <w:color w:val="0000FF"/>
                    </w:rPr>
                    <w:t>.烟囱：烟囱高度（m）≥15；</w:t>
                  </w:r>
                </w:p>
                <w:p>
                  <w:pPr>
                    <w:pStyle w:val="null3"/>
                    <w:spacing w:after="120"/>
                    <w:jc w:val="left"/>
                  </w:pPr>
                  <w:r>
                    <w:rPr>
                      <w:rFonts w:ascii="仿宋_GB2312" w:hAnsi="仿宋_GB2312" w:cs="仿宋_GB2312" w:eastAsia="仿宋_GB2312"/>
                      <w:sz w:val="21"/>
                      <w:color w:val="0000FF"/>
                    </w:rPr>
                    <w:t>7</w:t>
                  </w:r>
                  <w:r>
                    <w:rPr>
                      <w:rFonts w:ascii="仿宋_GB2312" w:hAnsi="仿宋_GB2312" w:cs="仿宋_GB2312" w:eastAsia="仿宋_GB2312"/>
                      <w:sz w:val="21"/>
                      <w:color w:val="0000FF"/>
                    </w:rPr>
                    <w:t>.风管：主风管规格（mm）：≥Φ900；材</w:t>
                  </w:r>
                  <w:r>
                    <w:rPr>
                      <w:rFonts w:ascii="仿宋_GB2312" w:hAnsi="仿宋_GB2312" w:cs="仿宋_GB2312" w:eastAsia="仿宋_GB2312"/>
                      <w:sz w:val="21"/>
                      <w:color w:val="0000FF"/>
                    </w:rPr>
                    <w:t>质：</w:t>
                  </w:r>
                  <w:r>
                    <w:rPr>
                      <w:rFonts w:ascii="仿宋_GB2312" w:hAnsi="仿宋_GB2312" w:cs="仿宋_GB2312" w:eastAsia="仿宋_GB2312"/>
                      <w:sz w:val="21"/>
                      <w:color w:val="0000FF"/>
                    </w:rPr>
                    <w:t>PP等工程塑料类；</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10</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料口喷淋降尘系统</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1套</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1.控制系统：控制方式：PLC控制；高压电磁阀：“3/8”常闭型；</w:t>
                  </w:r>
                </w:p>
                <w:p>
                  <w:pPr>
                    <w:pStyle w:val="null3"/>
                    <w:spacing w:after="120"/>
                    <w:jc w:val="left"/>
                  </w:pPr>
                  <w:r>
                    <w:rPr>
                      <w:rFonts w:ascii="仿宋_GB2312" w:hAnsi="仿宋_GB2312" w:cs="仿宋_GB2312" w:eastAsia="仿宋_GB2312"/>
                      <w:sz w:val="21"/>
                      <w:color w:val="0000FF"/>
                    </w:rPr>
                    <w:t>2.输送泵：功率(kW)：≥1.5；流量(L/min)：≥8；</w:t>
                  </w:r>
                </w:p>
                <w:p>
                  <w:pPr>
                    <w:pStyle w:val="null3"/>
                    <w:spacing w:after="120"/>
                    <w:jc w:val="left"/>
                  </w:pPr>
                  <w:r>
                    <w:rPr>
                      <w:rFonts w:ascii="仿宋_GB2312" w:hAnsi="仿宋_GB2312" w:cs="仿宋_GB2312" w:eastAsia="仿宋_GB2312"/>
                      <w:sz w:val="21"/>
                      <w:color w:val="0000FF"/>
                    </w:rPr>
                    <w:t>3.水雾炮：风机风量(m3/h)：≥1000；雾化半径(m)：2.5-3；喷嘴材质：SUS304；水雾炮数量：4个/卸料位；</w:t>
                  </w:r>
                </w:p>
                <w:p>
                  <w:pPr>
                    <w:pStyle w:val="null3"/>
                    <w:spacing w:after="120"/>
                    <w:jc w:val="left"/>
                  </w:pPr>
                  <w:r>
                    <w:rPr>
                      <w:rFonts w:ascii="仿宋_GB2312" w:hAnsi="仿宋_GB2312" w:cs="仿宋_GB2312" w:eastAsia="仿宋_GB2312"/>
                      <w:sz w:val="21"/>
                      <w:color w:val="0000FF"/>
                    </w:rPr>
                    <w:t>总功率（</w:t>
                  </w:r>
                  <w:r>
                    <w:rPr>
                      <w:rFonts w:ascii="仿宋_GB2312" w:hAnsi="仿宋_GB2312" w:cs="仿宋_GB2312" w:eastAsia="仿宋_GB2312"/>
                      <w:sz w:val="21"/>
                      <w:color w:val="0000FF"/>
                    </w:rPr>
                    <w:t>kW）：≥0.8；</w:t>
                  </w:r>
                </w:p>
                <w:p>
                  <w:pPr>
                    <w:pStyle w:val="null3"/>
                    <w:spacing w:after="120"/>
                    <w:jc w:val="left"/>
                  </w:pPr>
                  <w:r>
                    <w:rPr>
                      <w:rFonts w:ascii="仿宋_GB2312" w:hAnsi="仿宋_GB2312" w:cs="仿宋_GB2312" w:eastAsia="仿宋_GB2312"/>
                      <w:sz w:val="21"/>
                      <w:color w:val="0000FF"/>
                    </w:rPr>
                    <w:t>4.自动配药器：液箱规格(L)：≥30；</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空间喷淋除臭系统</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1套</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1.智能雾化器：</w:t>
                  </w:r>
                </w:p>
                <w:p>
                  <w:pPr>
                    <w:pStyle w:val="null3"/>
                    <w:spacing w:after="1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1）主体材质：SUS304+聚乙烯；</w:t>
                  </w:r>
                </w:p>
                <w:p>
                  <w:pPr>
                    <w:pStyle w:val="null3"/>
                    <w:spacing w:after="1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）旋转角度：水平</w:t>
                  </w:r>
                  <w:r>
                    <w:rPr>
                      <w:rFonts w:ascii="仿宋_GB2312" w:hAnsi="仿宋_GB2312" w:cs="仿宋_GB2312" w:eastAsia="仿宋_GB2312"/>
                      <w:sz w:val="21"/>
                      <w:color w:val="0000FF"/>
                    </w:rPr>
                    <w:t>180°、俯仰±35°；</w:t>
                  </w:r>
                </w:p>
                <w:p>
                  <w:pPr>
                    <w:pStyle w:val="null3"/>
                    <w:spacing w:after="1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）雾化器数量（套）：</w:t>
                  </w:r>
                  <w:r>
                    <w:rPr>
                      <w:rFonts w:ascii="仿宋_GB2312" w:hAnsi="仿宋_GB2312" w:cs="仿宋_GB2312" w:eastAsia="仿宋_GB2312"/>
                      <w:sz w:val="21"/>
                      <w:color w:val="0000FF"/>
                    </w:rPr>
                    <w:t>≥4；</w:t>
                  </w:r>
                </w:p>
                <w:p>
                  <w:pPr>
                    <w:pStyle w:val="null3"/>
                    <w:spacing w:after="1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）总功率（</w:t>
                  </w:r>
                  <w:r>
                    <w:rPr>
                      <w:rFonts w:ascii="仿宋_GB2312" w:hAnsi="仿宋_GB2312" w:cs="仿宋_GB2312" w:eastAsia="仿宋_GB2312"/>
                      <w:sz w:val="21"/>
                      <w:color w:val="0000FF"/>
                    </w:rPr>
                    <w:t>kW）：≥4.</w:t>
                  </w:r>
                  <w:r>
                    <w:rPr>
                      <w:rFonts w:ascii="仿宋_GB2312" w:hAnsi="仿宋_GB2312" w:cs="仿宋_GB2312" w:eastAsia="仿宋_GB2312"/>
                      <w:sz w:val="21"/>
                      <w:color w:val="0000FF"/>
                      <w:u w:val="single"/>
                    </w:rPr>
                    <w:t>5</w:t>
                  </w:r>
                  <w:r>
                    <w:rPr>
                      <w:rFonts w:ascii="仿宋_GB2312" w:hAnsi="仿宋_GB2312" w:cs="仿宋_GB2312" w:eastAsia="仿宋_GB2312"/>
                      <w:sz w:val="21"/>
                      <w:color w:val="0000FF"/>
                    </w:rPr>
                    <w:t>；</w:t>
                  </w:r>
                </w:p>
                <w:p>
                  <w:pPr>
                    <w:pStyle w:val="null3"/>
                    <w:spacing w:after="120"/>
                    <w:jc w:val="left"/>
                  </w:pPr>
                  <w:r>
                    <w:rPr>
                      <w:rFonts w:ascii="仿宋_GB2312" w:hAnsi="仿宋_GB2312" w:cs="仿宋_GB2312" w:eastAsia="仿宋_GB2312"/>
                      <w:sz w:val="21"/>
                      <w:color w:val="0000FF"/>
                    </w:rPr>
                    <w:t>2.混合液输送泵：流量（m³/h）：≥5；功率（kW）：≥0.5；</w:t>
                  </w:r>
                </w:p>
                <w:p>
                  <w:pPr>
                    <w:pStyle w:val="null3"/>
                    <w:spacing w:after="120"/>
                    <w:jc w:val="left"/>
                  </w:pPr>
                  <w:r>
                    <w:rPr>
                      <w:rFonts w:ascii="仿宋_GB2312" w:hAnsi="仿宋_GB2312" w:cs="仿宋_GB2312" w:eastAsia="仿宋_GB2312"/>
                      <w:sz w:val="21"/>
                      <w:color w:val="0000FF"/>
                    </w:rPr>
                    <w:t>3.植物液原液箱：容积（L）：≥75；</w:t>
                  </w:r>
                </w:p>
                <w:p>
                  <w:pPr>
                    <w:pStyle w:val="null3"/>
                    <w:spacing w:after="120"/>
                    <w:jc w:val="left"/>
                  </w:pPr>
                  <w:r>
                    <w:rPr>
                      <w:rFonts w:ascii="仿宋_GB2312" w:hAnsi="仿宋_GB2312" w:cs="仿宋_GB2312" w:eastAsia="仿宋_GB2312"/>
                      <w:sz w:val="21"/>
                      <w:color w:val="0000FF"/>
                    </w:rPr>
                    <w:t>4.植物液工作液箱：容积（L）：≥500；</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快速卷帘门</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2套</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适用门洞尺寸：</w:t>
                  </w:r>
                  <w:r>
                    <w:rPr>
                      <w:rFonts w:ascii="仿宋_GB2312" w:hAnsi="仿宋_GB2312" w:cs="仿宋_GB2312" w:eastAsia="仿宋_GB2312"/>
                      <w:sz w:val="21"/>
                      <w:color w:val="0000FF"/>
                    </w:rPr>
                    <w:t>3.5m×6.5m（可定制）；电机功率：≤1.5kW；</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风幕机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12套</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1.风量（m³/h）：≥75</w:t>
                  </w:r>
                  <w:r>
                    <w:rPr>
                      <w:rFonts w:ascii="仿宋_GB2312" w:hAnsi="仿宋_GB2312" w:cs="仿宋_GB2312" w:eastAsia="仿宋_GB2312"/>
                      <w:sz w:val="21"/>
                      <w:color w:val="0000FF"/>
                      <w:u w:val="single"/>
                    </w:rPr>
                    <w:t>0</w:t>
                  </w:r>
                  <w:r>
                    <w:rPr>
                      <w:rFonts w:ascii="仿宋_GB2312" w:hAnsi="仿宋_GB2312" w:cs="仿宋_GB2312" w:eastAsia="仿宋_GB2312"/>
                      <w:sz w:val="21"/>
                      <w:color w:val="0000FF"/>
                    </w:rPr>
                    <w:t>0；长度（mm）：1500（±100mm）；</w:t>
                  </w:r>
                </w:p>
                <w:p>
                  <w:pPr>
                    <w:pStyle w:val="null3"/>
                    <w:spacing w:after="120"/>
                    <w:jc w:val="left"/>
                  </w:pPr>
                  <w:r>
                    <w:rPr>
                      <w:rFonts w:ascii="仿宋_GB2312" w:hAnsi="仿宋_GB2312" w:cs="仿宋_GB2312" w:eastAsia="仿宋_GB2312"/>
                      <w:sz w:val="21"/>
                      <w:color w:val="0000FF"/>
                    </w:rPr>
                    <w:t>适用门洞高度（</w:t>
                  </w:r>
                  <w:r>
                    <w:rPr>
                      <w:rFonts w:ascii="仿宋_GB2312" w:hAnsi="仿宋_GB2312" w:cs="仿宋_GB2312" w:eastAsia="仿宋_GB2312"/>
                      <w:sz w:val="21"/>
                      <w:color w:val="0000FF"/>
                    </w:rPr>
                    <w:t>m）：6-8；电机功率（kW）：≥2.</w:t>
                  </w:r>
                  <w:r>
                    <w:rPr>
                      <w:rFonts w:ascii="仿宋_GB2312" w:hAnsi="仿宋_GB2312" w:cs="仿宋_GB2312" w:eastAsia="仿宋_GB2312"/>
                      <w:sz w:val="21"/>
                      <w:color w:val="0000FF"/>
                      <w:u w:val="single"/>
                    </w:rPr>
                    <w:t>5</w:t>
                  </w:r>
                  <w:r>
                    <w:rPr>
                      <w:rFonts w:ascii="仿宋_GB2312" w:hAnsi="仿宋_GB2312" w:cs="仿宋_GB2312" w:eastAsia="仿宋_GB2312"/>
                      <w:sz w:val="21"/>
                      <w:color w:val="0000FF"/>
                    </w:rPr>
                    <w:t>；</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14</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高压清洗机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2套</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1.功率：≤3 kW；电源：220 V/50 Hz；水流量：≥600 L/h；</w:t>
                  </w:r>
                </w:p>
                <w:p>
                  <w:pPr>
                    <w:pStyle w:val="null3"/>
                    <w:spacing w:after="120"/>
                    <w:jc w:val="left"/>
                  </w:pPr>
                  <w:r>
                    <w:rPr>
                      <w:rFonts w:ascii="仿宋_GB2312" w:hAnsi="仿宋_GB2312" w:cs="仿宋_GB2312" w:eastAsia="仿宋_GB2312"/>
                      <w:sz w:val="21"/>
                      <w:color w:val="0000FF"/>
                    </w:rPr>
                    <w:t>最大压力：</w:t>
                  </w:r>
                  <w:r>
                    <w:rPr>
                      <w:rFonts w:ascii="仿宋_GB2312" w:hAnsi="仿宋_GB2312" w:cs="仿宋_GB2312" w:eastAsia="仿宋_GB2312"/>
                      <w:sz w:val="21"/>
                      <w:color w:val="0000FF"/>
                    </w:rPr>
                    <w:t>≥15 MPa；高压管长度：≥10</w:t>
                  </w:r>
                  <w:r>
                    <w:rPr>
                      <w:rFonts w:ascii="仿宋_GB2312" w:hAnsi="仿宋_GB2312" w:cs="仿宋_GB2312" w:eastAsia="仿宋_GB2312"/>
                      <w:sz w:val="21"/>
                      <w:color w:val="0000FF"/>
                      <w:u w:val="single"/>
                    </w:rPr>
                    <w:t>m</w:t>
                  </w:r>
                  <w:r>
                    <w:rPr>
                      <w:rFonts w:ascii="仿宋_GB2312" w:hAnsi="仿宋_GB2312" w:cs="仿宋_GB2312" w:eastAsia="仿宋_GB2312"/>
                      <w:sz w:val="21"/>
                      <w:color w:val="0000FF"/>
                    </w:rPr>
                    <w:t>；</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15</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25吨车厢可卸式垃圾车</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2辆</w:t>
                  </w:r>
                </w:p>
              </w:tc>
              <w:tc>
                <w:tcPr>
                  <w:tcW w:type="dxa" w:w="1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1.外形尺寸(mm)≤8500*2500*3200（长宽高）</w:t>
                  </w:r>
                </w:p>
                <w:p>
                  <w:pPr>
                    <w:pStyle w:val="null3"/>
                    <w:spacing w:after="120"/>
                    <w:jc w:val="left"/>
                  </w:pPr>
                  <w:r>
                    <w:rPr>
                      <w:rFonts w:ascii="仿宋_GB2312" w:hAnsi="仿宋_GB2312" w:cs="仿宋_GB2312" w:eastAsia="仿宋_GB2312"/>
                      <w:sz w:val="21"/>
                      <w:color w:val="0000FF"/>
                    </w:rPr>
                    <w:t>2.总质量(kg)≥25000</w:t>
                  </w:r>
                </w:p>
                <w:p>
                  <w:pPr>
                    <w:pStyle w:val="null3"/>
                    <w:spacing w:after="120"/>
                    <w:jc w:val="left"/>
                  </w:pPr>
                  <w:r>
                    <w:rPr>
                      <w:rFonts w:ascii="仿宋_GB2312" w:hAnsi="仿宋_GB2312" w:cs="仿宋_GB2312" w:eastAsia="仿宋_GB2312"/>
                      <w:sz w:val="21"/>
                      <w:color w:val="0000FF"/>
                    </w:rPr>
                    <w:t>3.额定载质量(kg)≥14000</w:t>
                  </w:r>
                </w:p>
                <w:p>
                  <w:pPr>
                    <w:pStyle w:val="null3"/>
                    <w:spacing w:after="120"/>
                    <w:jc w:val="left"/>
                  </w:pPr>
                  <w:r>
                    <w:rPr>
                      <w:rFonts w:ascii="仿宋_GB2312" w:hAnsi="仿宋_GB2312" w:cs="仿宋_GB2312" w:eastAsia="仿宋_GB2312"/>
                      <w:sz w:val="21"/>
                      <w:color w:val="0000FF"/>
                    </w:rPr>
                    <w:t>4.整备质量(kg)≥10700</w:t>
                  </w:r>
                </w:p>
                <w:p>
                  <w:pPr>
                    <w:pStyle w:val="null3"/>
                    <w:spacing w:after="120"/>
                    <w:jc w:val="left"/>
                  </w:pPr>
                  <w:r>
                    <w:rPr>
                      <w:rFonts w:ascii="仿宋_GB2312" w:hAnsi="仿宋_GB2312" w:cs="仿宋_GB2312" w:eastAsia="仿宋_GB2312"/>
                      <w:sz w:val="21"/>
                      <w:color w:val="0000FF"/>
                    </w:rPr>
                    <w:t>5.接近角/离去角 (°)≥20/20</w:t>
                  </w:r>
                </w:p>
                <w:p>
                  <w:pPr>
                    <w:pStyle w:val="null3"/>
                    <w:spacing w:after="120"/>
                    <w:jc w:val="left"/>
                  </w:pPr>
                  <w:r>
                    <w:rPr>
                      <w:rFonts w:ascii="仿宋_GB2312" w:hAnsi="仿宋_GB2312" w:cs="仿宋_GB2312" w:eastAsia="仿宋_GB2312"/>
                      <w:sz w:val="21"/>
                      <w:color w:val="0000FF"/>
                    </w:rPr>
                    <w:t>6.前悬后悬(mm)≥1480/1250</w:t>
                  </w:r>
                </w:p>
                <w:p>
                  <w:pPr>
                    <w:pStyle w:val="null3"/>
                    <w:spacing w:after="120"/>
                    <w:jc w:val="left"/>
                  </w:pPr>
                  <w:r>
                    <w:rPr>
                      <w:rFonts w:ascii="仿宋_GB2312" w:hAnsi="仿宋_GB2312" w:cs="仿宋_GB2312" w:eastAsia="仿宋_GB2312"/>
                      <w:sz w:val="21"/>
                      <w:color w:val="0000FF"/>
                    </w:rPr>
                    <w:t>7</w:t>
                  </w:r>
                  <w:r>
                    <w:rPr>
                      <w:rFonts w:ascii="仿宋_GB2312" w:hAnsi="仿宋_GB2312" w:cs="仿宋_GB2312" w:eastAsia="仿宋_GB2312"/>
                      <w:sz w:val="21"/>
                      <w:color w:val="0000FF"/>
                    </w:rPr>
                    <w:t>.发动机功率(kw)≥210</w:t>
                  </w:r>
                </w:p>
                <w:p>
                  <w:pPr>
                    <w:pStyle w:val="null3"/>
                    <w:spacing w:after="120"/>
                    <w:jc w:val="left"/>
                  </w:pPr>
                  <w:r>
                    <w:rPr>
                      <w:rFonts w:ascii="仿宋_GB2312" w:hAnsi="仿宋_GB2312" w:cs="仿宋_GB2312" w:eastAsia="仿宋_GB2312"/>
                      <w:sz w:val="21"/>
                      <w:color w:val="0000FF"/>
                    </w:rPr>
                    <w:t>8</w:t>
                  </w:r>
                  <w:r>
                    <w:rPr>
                      <w:rFonts w:ascii="仿宋_GB2312" w:hAnsi="仿宋_GB2312" w:cs="仿宋_GB2312" w:eastAsia="仿宋_GB2312"/>
                      <w:sz w:val="21"/>
                      <w:color w:val="0000FF"/>
                    </w:rPr>
                    <w:t>.最小转弯直径(m)≤16</w:t>
                  </w:r>
                </w:p>
                <w:p>
                  <w:pPr>
                    <w:pStyle w:val="null3"/>
                    <w:spacing w:after="120"/>
                    <w:jc w:val="left"/>
                  </w:pPr>
                  <w:r>
                    <w:rPr>
                      <w:rFonts w:ascii="仿宋_GB2312" w:hAnsi="仿宋_GB2312" w:cs="仿宋_GB2312" w:eastAsia="仿宋_GB2312"/>
                      <w:sz w:val="21"/>
                      <w:color w:val="0000FF"/>
                    </w:rPr>
                    <w:t>9</w:t>
                  </w:r>
                  <w:r>
                    <w:rPr>
                      <w:rFonts w:ascii="仿宋_GB2312" w:hAnsi="仿宋_GB2312" w:cs="仿宋_GB2312" w:eastAsia="仿宋_GB2312"/>
                      <w:sz w:val="21"/>
                      <w:color w:val="0000FF"/>
                    </w:rPr>
                    <w:t>.拉臂额定提升能力(t)≥20</w:t>
                  </w:r>
                </w:p>
                <w:p>
                  <w:pPr>
                    <w:pStyle w:val="null3"/>
                    <w:spacing w:after="120"/>
                    <w:jc w:val="left"/>
                  </w:pPr>
                  <w:r>
                    <w:rPr>
                      <w:rFonts w:ascii="仿宋_GB2312" w:hAnsi="仿宋_GB2312" w:cs="仿宋_GB2312" w:eastAsia="仿宋_GB2312"/>
                      <w:sz w:val="21"/>
                      <w:color w:val="0000FF"/>
                    </w:rPr>
                    <w:t>10</w:t>
                  </w:r>
                  <w:r>
                    <w:rPr>
                      <w:rFonts w:ascii="仿宋_GB2312" w:hAnsi="仿宋_GB2312" w:cs="仿宋_GB2312" w:eastAsia="仿宋_GB2312"/>
                      <w:sz w:val="21"/>
                      <w:color w:val="0000FF"/>
                    </w:rPr>
                    <w:t>.钩心高度(mm)：1570±10</w:t>
                  </w:r>
                </w:p>
                <w:p>
                  <w:pPr>
                    <w:pStyle w:val="null3"/>
                    <w:spacing w:after="120"/>
                    <w:jc w:val="left"/>
                  </w:pPr>
                  <w:r>
                    <w:rPr>
                      <w:rFonts w:ascii="仿宋_GB2312" w:hAnsi="仿宋_GB2312" w:cs="仿宋_GB2312" w:eastAsia="仿宋_GB2312"/>
                      <w:sz w:val="21"/>
                      <w:color w:val="0000FF"/>
                    </w:rPr>
                    <w:t>11</w:t>
                  </w:r>
                  <w:r>
                    <w:rPr>
                      <w:rFonts w:ascii="仿宋_GB2312" w:hAnsi="仿宋_GB2312" w:cs="仿宋_GB2312" w:eastAsia="仿宋_GB2312"/>
                      <w:sz w:val="21"/>
                      <w:color w:val="0000FF"/>
                    </w:rPr>
                    <w:t>.外导入宽度(mm)：1070±10</w:t>
                  </w:r>
                </w:p>
                <w:p>
                  <w:pPr>
                    <w:pStyle w:val="null3"/>
                    <w:spacing w:after="120"/>
                    <w:jc w:val="left"/>
                  </w:pPr>
                  <w:r>
                    <w:rPr>
                      <w:rFonts w:ascii="仿宋_GB2312" w:hAnsi="仿宋_GB2312" w:cs="仿宋_GB2312" w:eastAsia="仿宋_GB2312"/>
                      <w:sz w:val="21"/>
                      <w:color w:val="0000FF"/>
                    </w:rPr>
                    <w:t>12</w:t>
                  </w:r>
                  <w:r>
                    <w:rPr>
                      <w:rFonts w:ascii="仿宋_GB2312" w:hAnsi="仿宋_GB2312" w:cs="仿宋_GB2312" w:eastAsia="仿宋_GB2312"/>
                      <w:sz w:val="21"/>
                      <w:color w:val="0000FF"/>
                    </w:rPr>
                    <w:t>.卸料角(°)≥50</w:t>
                  </w:r>
                </w:p>
              </w:tc>
            </w:tr>
          </w:tbl>
          <w:p>
            <w:pPr>
              <w:pStyle w:val="null3"/>
            </w:pPr>
            <w:r>
              <w:rPr>
                <w:rFonts w:ascii="仿宋_GB2312" w:hAnsi="仿宋_GB2312" w:cs="仿宋_GB2312" w:eastAsia="仿宋_GB2312"/>
                <w:sz w:val="21"/>
                <w:b/>
                <w:color w:val="0000FF"/>
              </w:rPr>
              <w:t>备注：</w:t>
            </w:r>
            <w:r>
              <w:rPr>
                <w:rFonts w:ascii="仿宋_GB2312" w:hAnsi="仿宋_GB2312" w:cs="仿宋_GB2312" w:eastAsia="仿宋_GB2312"/>
                <w:sz w:val="21"/>
                <w:b/>
                <w:color w:val="0000FF"/>
              </w:rPr>
              <w:t>1、本项目核心产品为：水平直压式压缩机。如通过初审的有效供应商拟供核心产品的品牌相同，按照《政府采购货物和服务招标投标管理办法》（第87号令）规定，提供相同核心品牌产品且通过资格审查、符合性审查的不同供应商参加同一合同项下投标的，按一家供应商计算，评审后得分最高的同品牌供应商获得中标人推荐资格；评审得分相同的，以“培训及售后服务”得分高的优先，其他同品牌供应商不作为中标候选人。</w:t>
            </w:r>
          </w:p>
          <w:p>
            <w:pPr>
              <w:pStyle w:val="null3"/>
              <w:ind w:firstLine="422"/>
            </w:pPr>
            <w:r>
              <w:rPr>
                <w:rFonts w:ascii="仿宋_GB2312" w:hAnsi="仿宋_GB2312" w:cs="仿宋_GB2312" w:eastAsia="仿宋_GB2312"/>
                <w:sz w:val="21"/>
                <w:b/>
                <w:color w:val="0000FF"/>
              </w:rPr>
              <w:t>2、供应商拟供车型必须在国家工业和信息化部发布的《车辆生产企业及产品》公告内，须提供查询截图，未提供按无效投标处理。</w:t>
            </w:r>
          </w:p>
          <w:p>
            <w:pPr>
              <w:pStyle w:val="null3"/>
              <w:ind w:firstLine="422"/>
            </w:pPr>
            <w:r>
              <w:rPr>
                <w:rFonts w:ascii="仿宋_GB2312" w:hAnsi="仿宋_GB2312" w:cs="仿宋_GB2312" w:eastAsia="仿宋_GB2312"/>
                <w:sz w:val="21"/>
                <w:b/>
                <w:color w:val="0000FF"/>
              </w:rPr>
              <w:t>3、本项目所涉及的所有车辆报价须包含车辆购置税、交强险及车辆上户的所有费用，供应商自行考虑计入投标报价中，采购人不在单独支付。</w:t>
            </w:r>
          </w:p>
          <w:p>
            <w:pPr>
              <w:pStyle w:val="null3"/>
            </w:pPr>
            <w:r>
              <w:rPr>
                <w:rFonts w:ascii="仿宋_GB2312" w:hAnsi="仿宋_GB2312" w:cs="仿宋_GB2312" w:eastAsia="仿宋_GB2312"/>
                <w:sz w:val="21"/>
                <w:b/>
                <w:color w:val="0000FF"/>
              </w:rPr>
              <w:t>四、采购标的需满足的其他要求：</w:t>
            </w:r>
          </w:p>
          <w:tbl>
            <w:tblPr>
              <w:tblBorders>
                <w:top w:val="none" w:color="000000" w:sz="4"/>
                <w:left w:val="none" w:color="000000" w:sz="4"/>
                <w:bottom w:val="none" w:color="000000" w:sz="4"/>
                <w:right w:val="none" w:color="000000" w:sz="4"/>
                <w:insideH w:val="none"/>
                <w:insideV w:val="none"/>
              </w:tblBorders>
            </w:tblPr>
            <w:tblGrid>
              <w:gridCol w:w="379"/>
              <w:gridCol w:w="379"/>
              <w:gridCol w:w="1794"/>
            </w:tblGrid>
            <w:tr>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序号</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名称</w:t>
                  </w:r>
                </w:p>
              </w:tc>
              <w:tc>
                <w:tcPr>
                  <w:tcW w:type="dxa" w:w="1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其他要求</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水平直压式压缩机</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1.组成要求：</w:t>
                  </w:r>
                </w:p>
                <w:p>
                  <w:pPr>
                    <w:pStyle w:val="null3"/>
                    <w:jc w:val="both"/>
                  </w:pPr>
                  <w:r>
                    <w:rPr>
                      <w:rFonts w:ascii="仿宋_GB2312" w:hAnsi="仿宋_GB2312" w:cs="仿宋_GB2312" w:eastAsia="仿宋_GB2312"/>
                      <w:sz w:val="21"/>
                      <w:color w:val="0000FF"/>
                    </w:rPr>
                    <w:t>压缩机应由机体、推头、推拉箱装置、锁紧装置、提门装置、料斗罩、污水箱、液压及电控系统等组成。</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移箱平台</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1.组成要求：</w:t>
                  </w:r>
                </w:p>
                <w:p>
                  <w:pPr>
                    <w:pStyle w:val="null3"/>
                    <w:jc w:val="both"/>
                  </w:pPr>
                  <w:r>
                    <w:rPr>
                      <w:rFonts w:ascii="仿宋_GB2312" w:hAnsi="仿宋_GB2312" w:cs="仿宋_GB2312" w:eastAsia="仿宋_GB2312"/>
                      <w:sz w:val="21"/>
                      <w:color w:val="0000FF"/>
                    </w:rPr>
                    <w:t>移箱平台应由平台机架，驱动装置、导轨等组成。</w:t>
                  </w:r>
                </w:p>
                <w:p>
                  <w:pPr>
                    <w:pStyle w:val="null3"/>
                    <w:jc w:val="both"/>
                  </w:pPr>
                  <w:r>
                    <w:rPr>
                      <w:rFonts w:ascii="仿宋_GB2312" w:hAnsi="仿宋_GB2312" w:cs="仿宋_GB2312" w:eastAsia="仿宋_GB2312"/>
                      <w:sz w:val="21"/>
                      <w:color w:val="0000FF"/>
                    </w:rPr>
                    <w:t>2.性能要求：</w:t>
                  </w:r>
                </w:p>
                <w:p>
                  <w:pPr>
                    <w:pStyle w:val="null3"/>
                    <w:jc w:val="both"/>
                  </w:pPr>
                  <w:r>
                    <w:rPr>
                      <w:rFonts w:ascii="仿宋_GB2312" w:hAnsi="仿宋_GB2312" w:cs="仿宋_GB2312" w:eastAsia="仿宋_GB2312"/>
                      <w:sz w:val="21"/>
                      <w:color w:val="0000FF"/>
                    </w:rPr>
                    <w:t>需采用两箱三工位的布置方式，可承载两个满载的垃圾箱。</w:t>
                  </w:r>
                </w:p>
                <w:p>
                  <w:pPr>
                    <w:pStyle w:val="null3"/>
                    <w:jc w:val="both"/>
                  </w:pPr>
                  <w:r>
                    <w:rPr>
                      <w:rFonts w:ascii="仿宋_GB2312" w:hAnsi="仿宋_GB2312" w:cs="仿宋_GB2312" w:eastAsia="仿宋_GB2312"/>
                      <w:sz w:val="21"/>
                      <w:color w:val="0000FF"/>
                    </w:rPr>
                    <w:t>需采用单油缸驱动，通过平台的水平移动能完成垃圾箱的自动换位。平台主体需采用单层桁架结构，桁架各梁之间采用钢板封闭形成全覆盖结构，可承接垃圾及污水。</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垃圾箱</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1.组成要求：</w:t>
                  </w:r>
                </w:p>
                <w:p>
                  <w:pPr>
                    <w:pStyle w:val="null3"/>
                    <w:spacing w:after="120"/>
                    <w:jc w:val="left"/>
                  </w:pPr>
                  <w:r>
                    <w:rPr>
                      <w:rFonts w:ascii="仿宋_GB2312" w:hAnsi="仿宋_GB2312" w:cs="仿宋_GB2312" w:eastAsia="仿宋_GB2312"/>
                      <w:sz w:val="21"/>
                      <w:color w:val="0000FF"/>
                    </w:rPr>
                    <w:t>垃圾箱应由箱体、卸料门、密封门、锁紧机构、液压系统等组成，液压系统应能实现卸料门锁紧和密封门的翻转、锁紧。</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中央控制系统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1.组成要求：</w:t>
                  </w:r>
                </w:p>
                <w:p>
                  <w:pPr>
                    <w:pStyle w:val="null3"/>
                    <w:jc w:val="both"/>
                  </w:pPr>
                  <w:r>
                    <w:rPr>
                      <w:rFonts w:ascii="仿宋_GB2312" w:hAnsi="仿宋_GB2312" w:cs="仿宋_GB2312" w:eastAsia="仿宋_GB2312"/>
                      <w:sz w:val="21"/>
                      <w:color w:val="0000FF"/>
                    </w:rPr>
                    <w:t>中央控制系统是以工业计算机为基础的自动化控制系统，用于对压缩设备进行监视和控制，应具有数据采集、设备控制及信号报警等功能。中央控制系统应由工控机、显示器、中控软件等组成。</w:t>
                  </w:r>
                </w:p>
                <w:p>
                  <w:pPr>
                    <w:pStyle w:val="null3"/>
                    <w:jc w:val="both"/>
                  </w:pPr>
                  <w:r>
                    <w:rPr>
                      <w:rFonts w:ascii="仿宋_GB2312" w:hAnsi="仿宋_GB2312" w:cs="仿宋_GB2312" w:eastAsia="仿宋_GB2312"/>
                      <w:sz w:val="21"/>
                      <w:color w:val="0000FF"/>
                    </w:rPr>
                    <w:t>2.中控软件要求：</w:t>
                  </w:r>
                </w:p>
                <w:p>
                  <w:pPr>
                    <w:pStyle w:val="null3"/>
                    <w:spacing w:after="120"/>
                    <w:jc w:val="left"/>
                  </w:pPr>
                  <w:r>
                    <w:rPr>
                      <w:rFonts w:ascii="仿宋_GB2312" w:hAnsi="仿宋_GB2312" w:cs="仿宋_GB2312" w:eastAsia="仿宋_GB2312"/>
                      <w:sz w:val="21"/>
                      <w:color w:val="0000FF"/>
                    </w:rPr>
                    <w:t>管理员拥有所有系统权限，并可根据使用情况选择性的分配其他用户拥有的权限。监控主界面需列出了设备的所有动作操作，以及设备状态信息的反馈，可在界面上显示设备的实时报警信息。界面布置相关子系统起停按钮和指示灯，方便控制。</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5</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视频监控</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1.组成要求：</w:t>
                  </w:r>
                </w:p>
                <w:p>
                  <w:pPr>
                    <w:pStyle w:val="null3"/>
                    <w:spacing w:after="120"/>
                    <w:jc w:val="left"/>
                  </w:pPr>
                  <w:r>
                    <w:rPr>
                      <w:rFonts w:ascii="仿宋_GB2312" w:hAnsi="仿宋_GB2312" w:cs="仿宋_GB2312" w:eastAsia="仿宋_GB2312"/>
                      <w:sz w:val="21"/>
                      <w:color w:val="0000FF"/>
                    </w:rPr>
                    <w:t>视频监控应由监控摄像机、硬盘录像机、液晶显示器和交换机等组成，通过数字监控摄像头对设备场地人员和设备运行状况进行监控，以保证设备和人员安全。</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6</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交通指挥系统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1.系统要求：</w:t>
                  </w:r>
                </w:p>
                <w:p>
                  <w:pPr>
                    <w:pStyle w:val="null3"/>
                    <w:spacing w:after="120"/>
                    <w:jc w:val="left"/>
                  </w:pPr>
                  <w:r>
                    <w:rPr>
                      <w:rFonts w:ascii="仿宋_GB2312" w:hAnsi="仿宋_GB2312" w:cs="仿宋_GB2312" w:eastAsia="仿宋_GB2312"/>
                      <w:sz w:val="21"/>
                      <w:color w:val="0000FF"/>
                    </w:rPr>
                    <w:t>交通指挥系统应由红绿灯组成，用于对收集车与转运车的指挥调度。中控人员可根据监控显示画面，点击中控软件界面上红绿灯按钮，在卸料口或转运门洞处对应显示红绿灯信号，以引导车辆有序入场、出场。</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7</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语音广播系统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1.性能要求：</w:t>
                  </w:r>
                </w:p>
                <w:p>
                  <w:pPr>
                    <w:pStyle w:val="null3"/>
                    <w:spacing w:after="120"/>
                    <w:jc w:val="left"/>
                  </w:pPr>
                  <w:r>
                    <w:rPr>
                      <w:rFonts w:ascii="仿宋_GB2312" w:hAnsi="仿宋_GB2312" w:cs="仿宋_GB2312" w:eastAsia="仿宋_GB2312"/>
                      <w:sz w:val="21"/>
                      <w:color w:val="0000FF"/>
                    </w:rPr>
                    <w:t>当操作人员发现监控视频、或其它报警系统中有可疑现象和紧急突发情况或其他需调度情况时，均能通过麦克风实现紧急语音广播，进行指挥现场处理工作。站内工作人员中远距离间可通过对讲机进行寻呼对讲，满足工作通讯。</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8</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大屏显示系统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1.组成要求</w:t>
                  </w:r>
                </w:p>
                <w:p>
                  <w:pPr>
                    <w:pStyle w:val="null3"/>
                    <w:jc w:val="both"/>
                  </w:pPr>
                  <w:r>
                    <w:rPr>
                      <w:rFonts w:ascii="仿宋_GB2312" w:hAnsi="仿宋_GB2312" w:cs="仿宋_GB2312" w:eastAsia="仿宋_GB2312"/>
                      <w:sz w:val="21"/>
                      <w:color w:val="0000FF"/>
                    </w:rPr>
                    <w:t>大屏显示系统主要用于监控画面的集中显示，其主要应由彩色液晶显示器、硬盘录像机、硬盘等组成。</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负压抽风除臭系统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1.组成要求：</w:t>
                  </w:r>
                </w:p>
                <w:p>
                  <w:pPr>
                    <w:pStyle w:val="null3"/>
                    <w:jc w:val="both"/>
                  </w:pPr>
                  <w:r>
                    <w:rPr>
                      <w:rFonts w:ascii="仿宋_GB2312" w:hAnsi="仿宋_GB2312" w:cs="仿宋_GB2312" w:eastAsia="仿宋_GB2312"/>
                      <w:sz w:val="21"/>
                      <w:color w:val="0000FF"/>
                    </w:rPr>
                    <w:t>负压抽风除臭系统应由风管、风机、洗涤塔、控制系统等组成，用于对作业过程中产生的粉尘、臭气进行集中处理，应采用生物液洗涤工艺，使臭气经处理后达到环保排放要求。</w:t>
                  </w:r>
                </w:p>
                <w:p>
                  <w:pPr>
                    <w:pStyle w:val="null3"/>
                    <w:jc w:val="both"/>
                  </w:pPr>
                  <w:r>
                    <w:rPr>
                      <w:rFonts w:ascii="仿宋_GB2312" w:hAnsi="仿宋_GB2312" w:cs="仿宋_GB2312" w:eastAsia="仿宋_GB2312"/>
                      <w:sz w:val="21"/>
                      <w:color w:val="0000FF"/>
                    </w:rPr>
                    <w:t>2.性能要求：</w:t>
                  </w:r>
                </w:p>
                <w:p>
                  <w:pPr>
                    <w:pStyle w:val="null3"/>
                    <w:spacing w:after="120"/>
                    <w:jc w:val="left"/>
                  </w:pPr>
                  <w:r>
                    <w:rPr>
                      <w:rFonts w:ascii="仿宋_GB2312" w:hAnsi="仿宋_GB2312" w:cs="仿宋_GB2312" w:eastAsia="仿宋_GB2312"/>
                      <w:sz w:val="21"/>
                      <w:color w:val="0000FF"/>
                    </w:rPr>
                    <w:t>洗涤塔的结构应简单，塔内除喷嘴、填料和除雾装置外，没有其他构件。应采用</w:t>
                  </w:r>
                  <w:r>
                    <w:rPr>
                      <w:rFonts w:ascii="仿宋_GB2312" w:hAnsi="仿宋_GB2312" w:cs="仿宋_GB2312" w:eastAsia="仿宋_GB2312"/>
                      <w:sz w:val="21"/>
                      <w:color w:val="0000FF"/>
                    </w:rPr>
                    <w:t>PLC控制，自动化程度高、操作简单。</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料口喷淋降尘系统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1.组成要求：</w:t>
                  </w:r>
                </w:p>
                <w:p>
                  <w:pPr>
                    <w:pStyle w:val="null3"/>
                    <w:jc w:val="both"/>
                  </w:pPr>
                  <w:r>
                    <w:rPr>
                      <w:rFonts w:ascii="仿宋_GB2312" w:hAnsi="仿宋_GB2312" w:cs="仿宋_GB2312" w:eastAsia="仿宋_GB2312"/>
                      <w:sz w:val="21"/>
                      <w:color w:val="0000FF"/>
                    </w:rPr>
                    <w:t>料口喷淋降尘系统由水雾炮、输送管、输送泵及自动化控制系统组成。水雾炮架设在卸料位上空，通过雾化喷嘴喷出水雾滴，经风机的风力推送将微小颗粒均匀的喷洒在卸料位上空，附空气中的粉尘粒子，从而起到降尘的作用。</w:t>
                  </w:r>
                </w:p>
                <w:p>
                  <w:pPr>
                    <w:pStyle w:val="null3"/>
                    <w:jc w:val="both"/>
                  </w:pPr>
                  <w:r>
                    <w:rPr>
                      <w:rFonts w:ascii="仿宋_GB2312" w:hAnsi="仿宋_GB2312" w:cs="仿宋_GB2312" w:eastAsia="仿宋_GB2312"/>
                      <w:sz w:val="21"/>
                      <w:color w:val="0000FF"/>
                    </w:rPr>
                    <w:t>2.性能要求：</w:t>
                  </w:r>
                </w:p>
                <w:p>
                  <w:pPr>
                    <w:pStyle w:val="null3"/>
                    <w:spacing w:after="120"/>
                    <w:jc w:val="left"/>
                  </w:pPr>
                  <w:r>
                    <w:rPr>
                      <w:rFonts w:ascii="仿宋_GB2312" w:hAnsi="仿宋_GB2312" w:cs="仿宋_GB2312" w:eastAsia="仿宋_GB2312"/>
                      <w:sz w:val="21"/>
                      <w:color w:val="0000FF"/>
                    </w:rPr>
                    <w:t>控制系统可根据实际情况，调整运行时间和运行间隔时间。</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空间喷淋除臭系统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1.组成要求：</w:t>
                  </w:r>
                </w:p>
                <w:p>
                  <w:pPr>
                    <w:pStyle w:val="null3"/>
                    <w:jc w:val="both"/>
                  </w:pPr>
                  <w:r>
                    <w:rPr>
                      <w:rFonts w:ascii="仿宋_GB2312" w:hAnsi="仿宋_GB2312" w:cs="仿宋_GB2312" w:eastAsia="仿宋_GB2312"/>
                      <w:sz w:val="21"/>
                      <w:color w:val="0000FF"/>
                    </w:rPr>
                    <w:t>空间喷淋除臭系统应由控制系统、供液系统、雾化系统等组成，通过控制系统自动将除臭药剂配比稀释，利用虹吸原理将液体吸入雾化机头，并随机头内产生的气流将液体雾化成极小的颗粒喷出，形成双流体的雾化方式，旋转喷洒到空中及地面，与空间的臭气分子充分接触反应，利用除臭药剂对恶臭物质的吸附、吸收和降解功能，将臭气分子分解，从而减少空间异味。</w:t>
                  </w:r>
                </w:p>
                <w:p>
                  <w:pPr>
                    <w:pStyle w:val="null3"/>
                    <w:jc w:val="both"/>
                  </w:pPr>
                  <w:r>
                    <w:rPr>
                      <w:rFonts w:ascii="仿宋_GB2312" w:hAnsi="仿宋_GB2312" w:cs="仿宋_GB2312" w:eastAsia="仿宋_GB2312"/>
                      <w:sz w:val="21"/>
                      <w:color w:val="0000FF"/>
                    </w:rPr>
                    <w:t>2.性能要求：</w:t>
                  </w:r>
                </w:p>
                <w:p>
                  <w:pPr>
                    <w:pStyle w:val="null3"/>
                    <w:spacing w:after="120"/>
                    <w:jc w:val="left"/>
                  </w:pPr>
                  <w:r>
                    <w:rPr>
                      <w:rFonts w:ascii="仿宋_GB2312" w:hAnsi="仿宋_GB2312" w:cs="仿宋_GB2312" w:eastAsia="仿宋_GB2312"/>
                      <w:sz w:val="21"/>
                      <w:color w:val="0000FF"/>
                    </w:rPr>
                    <w:t>需采用</w:t>
                  </w:r>
                  <w:r>
                    <w:rPr>
                      <w:rFonts w:ascii="仿宋_GB2312" w:hAnsi="仿宋_GB2312" w:cs="仿宋_GB2312" w:eastAsia="仿宋_GB2312"/>
                      <w:sz w:val="21"/>
                      <w:color w:val="0000FF"/>
                    </w:rPr>
                    <w:t>PLC自动控制，运行过程无需人员值守，可定时启停。</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12</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快速卷帘门</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1.组成要求：</w:t>
                  </w:r>
                </w:p>
                <w:p>
                  <w:pPr>
                    <w:pStyle w:val="null3"/>
                    <w:jc w:val="both"/>
                  </w:pPr>
                  <w:r>
                    <w:rPr>
                      <w:rFonts w:ascii="仿宋_GB2312" w:hAnsi="仿宋_GB2312" w:cs="仿宋_GB2312" w:eastAsia="仿宋_GB2312"/>
                      <w:sz w:val="21"/>
                      <w:color w:val="0000FF"/>
                    </w:rPr>
                    <w:t>快速卷帘门应由门帘、传动系统、控制系统、定位系统等组成。</w:t>
                  </w:r>
                </w:p>
                <w:p>
                  <w:pPr>
                    <w:pStyle w:val="null3"/>
                    <w:jc w:val="both"/>
                  </w:pPr>
                  <w:r>
                    <w:rPr>
                      <w:rFonts w:ascii="仿宋_GB2312" w:hAnsi="仿宋_GB2312" w:cs="仿宋_GB2312" w:eastAsia="仿宋_GB2312"/>
                      <w:sz w:val="21"/>
                      <w:color w:val="0000FF"/>
                    </w:rPr>
                    <w:t>2.性能要求：</w:t>
                  </w:r>
                </w:p>
                <w:p>
                  <w:pPr>
                    <w:pStyle w:val="null3"/>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需使用地磁感应技术，当车辆靠近或离开时，快速卷帘门可根据传感器检测信号自动打开、关闭，不会因垃圾、灰尘、光线、人员晃动等因素而产生误开闭。门帘需采用高密度低纱聚酯丝PVDF涂层的涤纶网带与流线型的玻璃纤维加固涤纶组成，门帘厚度≥1mm。</w:t>
                  </w:r>
                </w:p>
                <w:p>
                  <w:pPr>
                    <w:pStyle w:val="null3"/>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）底端需装有加重隔气布，两侧滑道需配有内置增强尼龙毛刷密封。传动系统的电机防护等级</w:t>
                  </w:r>
                  <w:r>
                    <w:rPr>
                      <w:rFonts w:ascii="仿宋_GB2312" w:hAnsi="仿宋_GB2312" w:cs="仿宋_GB2312" w:eastAsia="仿宋_GB2312"/>
                      <w:sz w:val="21"/>
                      <w:color w:val="0000FF"/>
                    </w:rPr>
                    <w:t>≥IP55，并具备刹车释放功能。控制系统需具备软启动、缓停止功能。需采用单面地磁环自动开门装置，可感应移动的金属物体。每樘门门柱下方需装有二套光电保护系统，防止卷帘门落下碰到人或车辆。</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13</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风幕机</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1.性能要求：</w:t>
                  </w:r>
                </w:p>
                <w:p>
                  <w:pPr>
                    <w:pStyle w:val="null3"/>
                    <w:spacing w:after="120"/>
                    <w:jc w:val="left"/>
                  </w:pPr>
                  <w:r>
                    <w:rPr>
                      <w:rFonts w:ascii="仿宋_GB2312" w:hAnsi="仿宋_GB2312" w:cs="仿宋_GB2312" w:eastAsia="仿宋_GB2312"/>
                      <w:sz w:val="21"/>
                      <w:color w:val="0000FF"/>
                    </w:rPr>
                    <w:t>风幕机安装在进出门洞上方，用于将室内外空气隔开，减少臭气外溢。</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14</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高压清洗机</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1.组成要求：</w:t>
                  </w:r>
                </w:p>
                <w:p>
                  <w:pPr>
                    <w:pStyle w:val="null3"/>
                    <w:jc w:val="both"/>
                  </w:pPr>
                  <w:r>
                    <w:rPr>
                      <w:rFonts w:ascii="仿宋_GB2312" w:hAnsi="仿宋_GB2312" w:cs="仿宋_GB2312" w:eastAsia="仿宋_GB2312"/>
                      <w:sz w:val="21"/>
                      <w:color w:val="0000FF"/>
                    </w:rPr>
                    <w:t>高压清洗机应由电机、高压水泵、高压喷枪、高强度塑料构架等组成，用于环卫设备和地面的清洗。</w:t>
                  </w:r>
                </w:p>
                <w:p>
                  <w:pPr>
                    <w:pStyle w:val="null3"/>
                    <w:jc w:val="both"/>
                  </w:pPr>
                  <w:r>
                    <w:rPr>
                      <w:rFonts w:ascii="仿宋_GB2312" w:hAnsi="仿宋_GB2312" w:cs="仿宋_GB2312" w:eastAsia="仿宋_GB2312"/>
                      <w:sz w:val="21"/>
                      <w:color w:val="0000FF"/>
                    </w:rPr>
                    <w:t>2.性能要求：</w:t>
                  </w:r>
                </w:p>
                <w:p>
                  <w:pPr>
                    <w:pStyle w:val="null3"/>
                    <w:spacing w:after="120"/>
                    <w:jc w:val="left"/>
                  </w:pPr>
                  <w:r>
                    <w:rPr>
                      <w:rFonts w:ascii="仿宋_GB2312" w:hAnsi="仿宋_GB2312" w:cs="仿宋_GB2312" w:eastAsia="仿宋_GB2312"/>
                      <w:sz w:val="21"/>
                      <w:color w:val="0000FF"/>
                    </w:rPr>
                    <w:t>需采用大脚轮胎设计，设备可以移动。需配一键式喷枪，可变压力</w:t>
                  </w:r>
                  <w:r>
                    <w:rPr>
                      <w:rFonts w:ascii="仿宋_GB2312" w:hAnsi="仿宋_GB2312" w:cs="仿宋_GB2312" w:eastAsia="仿宋_GB2312"/>
                      <w:sz w:val="21"/>
                      <w:color w:val="0000FF"/>
                    </w:rPr>
                    <w:t>/水流控制。</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15</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25吨车厢可卸式垃圾车</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1.主要性能特点：</w:t>
                  </w:r>
                </w:p>
                <w:p>
                  <w:pPr>
                    <w:pStyle w:val="null3"/>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1）需配有手持控制盒，驾驶员坐在驾驶座上或站立于驾驶室外均可进行操作。</w:t>
                  </w:r>
                </w:p>
                <w:p>
                  <w:pPr>
                    <w:pStyle w:val="null3"/>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）车辆后部需装有后支撑装置，作业时将后滚轮支撑在地面，防止车辆向后倾翻。需配备蜂鸣器提示，在进行各种作业动作时进行声音提示。拉臂上装需设置有多层电液互锁逻辑控制装置。需设有安全撑杆。</w:t>
                  </w:r>
                </w:p>
              </w:tc>
            </w:tr>
          </w:tbl>
          <w:p>
            <w:pPr>
              <w:pStyle w:val="null3"/>
            </w:pPr>
            <w:r>
              <w:rPr>
                <w:rFonts w:ascii="仿宋_GB2312" w:hAnsi="仿宋_GB2312" w:cs="仿宋_GB2312" w:eastAsia="仿宋_GB2312"/>
                <w:sz w:val="21"/>
                <w:b/>
                <w:color w:val="0000FF"/>
              </w:rPr>
              <w:t>五、采购标的需满足的商务要求：</w:t>
            </w:r>
          </w:p>
          <w:p>
            <w:pPr>
              <w:pStyle w:val="null3"/>
              <w:ind w:right="90"/>
              <w:jc w:val="left"/>
            </w:pPr>
            <w:r>
              <w:rPr>
                <w:rFonts w:ascii="仿宋_GB2312" w:hAnsi="仿宋_GB2312" w:cs="仿宋_GB2312" w:eastAsia="仿宋_GB2312"/>
                <w:sz w:val="21"/>
                <w:color w:val="0000FF"/>
              </w:rPr>
              <w:t>1.交货时间：合同签订后75个日历天。</w:t>
            </w:r>
          </w:p>
          <w:p>
            <w:pPr>
              <w:pStyle w:val="null3"/>
              <w:jc w:val="left"/>
            </w:pPr>
            <w:r>
              <w:rPr>
                <w:rFonts w:ascii="仿宋_GB2312" w:hAnsi="仿宋_GB2312" w:cs="仿宋_GB2312" w:eastAsia="仿宋_GB2312"/>
                <w:sz w:val="21"/>
                <w:color w:val="0000FF"/>
              </w:rPr>
              <w:t>2.付款方式：合同签订后，全部货物按招标文件交货期约定交付使用。预付款为合同价款30%，货到现场甲方签收付合同价款40%，验收合格付合同价款30%。</w:t>
            </w:r>
          </w:p>
          <w:p>
            <w:pPr>
              <w:pStyle w:val="null3"/>
              <w:jc w:val="left"/>
            </w:pPr>
            <w:r>
              <w:rPr>
                <w:rFonts w:ascii="仿宋_GB2312" w:hAnsi="仿宋_GB2312" w:cs="仿宋_GB2312" w:eastAsia="仿宋_GB2312"/>
                <w:sz w:val="21"/>
                <w:color w:val="0000FF"/>
              </w:rPr>
              <w:t>3.质保期：自验收合格之日起一年。</w:t>
            </w:r>
          </w:p>
          <w:p>
            <w:pPr>
              <w:pStyle w:val="null3"/>
              <w:jc w:val="left"/>
            </w:pPr>
            <w:r>
              <w:rPr>
                <w:rFonts w:ascii="仿宋_GB2312" w:hAnsi="仿宋_GB2312" w:cs="仿宋_GB2312" w:eastAsia="仿宋_GB2312"/>
                <w:sz w:val="21"/>
                <w:color w:val="0000FF"/>
              </w:rPr>
              <w:t>4.质量标准：符合国家及行业质量验收合格标准。</w:t>
            </w:r>
          </w:p>
          <w:p>
            <w:pPr>
              <w:pStyle w:val="null3"/>
            </w:pPr>
            <w:r>
              <w:rPr>
                <w:rFonts w:ascii="仿宋_GB2312" w:hAnsi="仿宋_GB2312" w:cs="仿宋_GB2312" w:eastAsia="仿宋_GB2312"/>
                <w:sz w:val="21"/>
                <w:color w:val="0000FF"/>
              </w:rPr>
              <w:t>5.交货地点：勉县园林环卫服务中心。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合同签订后75个日历天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勉县园林环卫服务中心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货到现场甲方签收后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1、甲方须在乙方提出书面验收申请之日起 10日内，组织验收工作。验收由甲方指定单位及人员进行验收，验收合格后出具书面验收合格证明，作为对产品的最终认可。 2、验收依据：单证齐全，应有产品合格证、质量证明、使用说明、保修保质证明、发票和其他应当具有的单证，并符合国家法律、法规对该产品规定的国家标准的要求。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营业执照或其他证明资料</w:t>
            </w:r>
          </w:p>
        </w:tc>
        <w:tc>
          <w:tcPr>
            <w:tcW w:type="dxa" w:w="3322"/>
          </w:tcPr>
          <w:p>
            <w:pPr>
              <w:pStyle w:val="null3"/>
            </w:pPr>
            <w:r>
              <w:rPr>
                <w:rFonts w:ascii="仿宋_GB2312" w:hAnsi="仿宋_GB2312" w:cs="仿宋_GB2312" w:eastAsia="仿宋_GB2312"/>
              </w:rPr>
              <w:t>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 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供应商不得为“信用中国” 网站（www.creditchi na.gov.cn）中列入重大税收违法失信主体的供应商；不得为“中国执行信息公开网”（http://z xgk.court.gov.cn）中列入失信被执行人名单的供应商；不得为“中国政府采购网”（www.cc gp.gov.cn）政府采购严重违法失信行为记录名 单中被财政部门禁止参加政府采购活动的供应商； （注：以投标文件中提供的承诺书为准）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 （注：以投标文件中提供的声明为准）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且与营业执照或其他证明资料上信息一致。法定代表人授权代表参加投标的，须出具法定代表人授权书及授权代表身份证；自然人参加投标的须提供身份证复印件</w:t>
            </w:r>
          </w:p>
        </w:tc>
        <w:tc>
          <w:tcPr>
            <w:tcW w:type="dxa" w:w="1661"/>
          </w:tcPr>
          <w:p>
            <w:pPr>
              <w:pStyle w:val="null3"/>
            </w:pPr>
            <w:r>
              <w:rPr>
                <w:rFonts w:ascii="仿宋_GB2312" w:hAnsi="仿宋_GB2312" w:cs="仿宋_GB2312" w:eastAsia="仿宋_GB2312"/>
              </w:rPr>
              <w:t>法定代表人（负责人）身份证明及法定代表人（负责人）授权委托书.docx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按招标文件要求签署、加盖印章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报价唯一，且未超过采购包最高限价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 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主要条款响应</w:t>
            </w:r>
          </w:p>
        </w:tc>
        <w:tc>
          <w:tcPr>
            <w:tcW w:type="dxa" w:w="3322"/>
          </w:tcPr>
          <w:p>
            <w:pPr>
              <w:pStyle w:val="null3"/>
            </w:pPr>
            <w:r>
              <w:rPr>
                <w:rFonts w:ascii="仿宋_GB2312" w:hAnsi="仿宋_GB2312" w:cs="仿宋_GB2312" w:eastAsia="仿宋_GB2312"/>
              </w:rPr>
              <w:t>对“交货期、交货地点、质保期、付款方式”等实质性内容进行响应且未附加采购人难以接受的条件</w:t>
            </w:r>
          </w:p>
        </w:tc>
        <w:tc>
          <w:tcPr>
            <w:tcW w:type="dxa" w:w="1661"/>
          </w:tcPr>
          <w:p>
            <w:pPr>
              <w:pStyle w:val="null3"/>
            </w:pPr>
            <w:r>
              <w:rPr>
                <w:rFonts w:ascii="仿宋_GB2312" w:hAnsi="仿宋_GB2312" w:cs="仿宋_GB2312" w:eastAsia="仿宋_GB2312"/>
              </w:rPr>
              <w:t>标的清单 商务应答表.docx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招标文件“第三章 招标项目技术、服务、商务及其他要求”“3.3技术要求”中“三、采购标的需满足的技术要求”共89项技术参数及要求，其中“▲”项为重要技术参数及要求，其他的为一般技术参数及要求。（1）“▲”项技术参数及要求共4项，供应商拟供产品的技术参数每有一项完全满足得4分，共16分；（2）一般技术参数及要求共85项，供应商拟供产品的技术参数每有一项完全满足得0.2分，共17分。 备注： “▲”项以省级或省级以上质量监督检验中心(且具备CMA及 CNAS资质)出具的有效检验报告证明为准；一般技术参数的证明材料，包括但不限于产品介绍或说明书或检测报告等，供应商自行承担因未提供拟供产品技术参数证明材料导致技术参数被视为负偏离的风险。</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对供应商针对本项目提供的实施方案进行评审，包括但不限于以下内容： （1）供货组织安排、安装、检测、调试措施；（2）项目实施步骤、进度计划和保证措施；（3）安全控制方案；（4）组织机构人员配置、协调能力；（5）验收方案等。 以上5条内容，每条内容均完整的，得满分15分，每有一条内容缺项的，扣3分；每条内容中每有一处内容不完整或有缺陷或与项目不匹配的，扣1分，扣完为止。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培训及售后服务</w:t>
            </w:r>
          </w:p>
        </w:tc>
        <w:tc>
          <w:tcPr>
            <w:tcW w:type="dxa" w:w="2492"/>
          </w:tcPr>
          <w:p>
            <w:pPr>
              <w:pStyle w:val="null3"/>
            </w:pPr>
            <w:r>
              <w:rPr>
                <w:rFonts w:ascii="仿宋_GB2312" w:hAnsi="仿宋_GB2312" w:cs="仿宋_GB2312" w:eastAsia="仿宋_GB2312"/>
              </w:rPr>
              <w:t>对供应商针对本项目提供的培训及售后服务方案进行评审，包括但不限于以下内容: （1）质保期内及质保期满之后产品保修内容及范围；（2）售后流程及培训方案；（3）售后服务时间；（4）备品、配件保障措施；（5）售后巡查及维护安排；（6）售后服务监督与奖惩；（7）售后服务管理；（8）客诉渠道、承诺及保障措施。 以上8条内容，每条内容均完整的，得满分16分，每有一条内容缺项的，扣2分；每条内容中每有一处内容不完整或有缺陷或与项目不匹配的，扣1分，扣完为止。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供应商自2022年1月1日至投标截止时间所具有类似项目业绩，每提供1份计2.5分，满分5分。 注：以供应商投标文件中所附加盖公章的项目合同复印件为准，业绩时间以合同显示时间为准，否则不得分。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类似项目情况表.docx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供应商所投产品具有国家节能产品认证且证书在有效期内，或具有中国环境标志产品认证证书且在有效期内，或具有国家强制采购节能产品认证证书且在有效期内的投标供应商，得1分。 注：需提供相关认证证书或在证明材料复印件并加盖供应商公章，未提供不得分。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满足招标文件要求且价格最低的价格为评标基准价，其价格分为满分。其他供应商的价格分统 一按照下列公式计算：投标报价得分=（评标基准价/投标报价） ×分值； 注：1、享受价格扣除的：供应商参评价格=投标报价*（1-价格扣除） 2、不享受价格扣除的：供应商参评价格=投标报价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详见附件：法定代表人（负责人）身份证明及法定代表人（负责人）授权委托书.docx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详见附件：类似项目情况表.docx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