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版本号：ZC2025-GC-24920251221001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勉县城镇生活垃圾转运处理设施设备更新项目（一期）江北生活垃圾压缩转运站配套土建工程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ZC2025-GC-249</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勉县城镇生活垃圾转运处理设施设备更新项目（一期）江北生活垃圾压缩转运站配套土建工程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ZC2025-GC-249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勉县城镇生活垃圾转运处理设施设备更新项目（一期）江北生活垃圾压缩转运站配套土建工程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城镇生活垃圾转运处理设施设备更新项目（一期）江北生活垃圾压缩转运站配套土建工程，项目总建筑面积354.60平方米，建设内容包括:江北生活垃圾压缩转运站升压站的所有土建（含拆除）、完成室外绿化、卸料平台地面、坡道、道路及管网等室外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采购包1（勉县城镇生活垃圾转运处理设施设备更新项目（一期）江北生活垃圾压缩转运站配套土建工程）：属于专门面向中小企业采购。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2、企业资质：供应商须具备建设行政主管部门核发的【市政公用工程施工总承包三级】及以上资质，并具有有效的安全生产许可证</w:t>
      </w:r>
    </w:p>
    <w:p>
      <w:pPr>
        <w:pStyle w:val="null3"/>
      </w:pPr>
      <w:r>
        <w:rPr>
          <w:rFonts w:ascii="仿宋_GB2312" w:hAnsi="仿宋_GB2312" w:cs="仿宋_GB2312" w:eastAsia="仿宋_GB2312"/>
        </w:rPr>
        <w:t>3、拟派项目经理资质：供应商拟派项目经理须具备建设行政主管部门颁发的【注册建造师二级】及以上执业资格（市政公用工程专业），且具备有效的安全生产考核证（建安B证），在本单位注册执业资格且未担任其他在建工程项目的项目经理(提供无在建项目承诺书)；</w:t>
      </w:r>
    </w:p>
    <w:p>
      <w:pPr>
        <w:pStyle w:val="null3"/>
      </w:pPr>
      <w:r>
        <w:rPr>
          <w:rFonts w:ascii="仿宋_GB2312" w:hAnsi="仿宋_GB2312" w:cs="仿宋_GB2312" w:eastAsia="仿宋_GB2312"/>
        </w:rPr>
        <w:t>4、供应商信誉要求：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5、非联合体磋商：本项目不接受联合体磋商（提供非联合体声明函）。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13572607270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宋扬、毛鑫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采购包1：1,807,118.51元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以成交金额为基数，参照《国家计委关于印发&lt;招标代理服务收费管理暂行办法&gt;的通知》（计价格[2002]1980号）规定的工程类标准以差额定率累进制计算收取，由成交供应商在领取成交通知书前一次性足额支付给采购代理机构。 造价咨询服务费收费标准：参照陕西省物价局《陕西省住房和建设厅关于我省工程造价咨询服务收费标准有关问题通知》（陕价行发【2014】88号）计费办法，以编制的招标上限控制价为基数进行计算收取，由成交供应商在领取成交通知书前一次性足额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联系人：宋扬、毛鑫</w:t>
      </w:r>
    </w:p>
    <w:p>
      <w:pPr>
        <w:pStyle w:val="null3"/>
      </w:pPr>
      <w:r>
        <w:rPr>
          <w:rFonts w:ascii="仿宋_GB2312" w:hAnsi="仿宋_GB2312" w:cs="仿宋_GB2312" w:eastAsia="仿宋_GB2312"/>
        </w:rPr>
        <w:t>联系电话：029-88811050</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1,807,118.51</w:t>
      </w:r>
    </w:p>
    <w:p>
      <w:pPr>
        <w:pStyle w:val="null3"/>
      </w:pPr>
      <w:r>
        <w:rPr>
          <w:rFonts w:ascii="仿宋_GB2312" w:hAnsi="仿宋_GB2312" w:cs="仿宋_GB2312" w:eastAsia="仿宋_GB2312"/>
        </w:rPr>
        <w:t>采购包最高限价（元）: 1,807,118.51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江北压缩站配套土建工程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1,807,118.51</w:t>
            </w:r>
          </w:p>
        </w:tc>
        <w:tc>
          <w:tcPr>
            <w:tcW w:type="dxa" w:w="1384"/>
          </w:tcPr>
          <w:p>
            <w:pPr>
              <w:pStyle w:val="null3"/>
            </w:pPr>
            <w:r>
              <w:rPr>
                <w:rFonts w:ascii="仿宋_GB2312" w:hAnsi="仿宋_GB2312" w:cs="仿宋_GB2312" w:eastAsia="仿宋_GB2312"/>
              </w:rPr>
              <w:t>座</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标的名称：江北压缩站配套土建工程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241FFF"/>
              </w:rPr>
              <w:t>1.项目概况：</w:t>
            </w:r>
          </w:p>
          <w:p>
            <w:pPr>
              <w:pStyle w:val="null3"/>
              <w:ind w:firstLine="420"/>
              <w:jc w:val="both"/>
            </w:pPr>
            <w:r>
              <w:rPr>
                <w:rFonts w:ascii="仿宋_GB2312" w:hAnsi="仿宋_GB2312" w:cs="仿宋_GB2312" w:eastAsia="仿宋_GB2312"/>
                <w:sz w:val="21"/>
                <w:color w:val="241FFF"/>
              </w:rPr>
              <w:t>勉县城镇生活垃圾转运处理设施设备更新项目（一期）江北生活垃圾压缩转运站配套土建工程，项目总建筑面积</w:t>
            </w:r>
            <w:r>
              <w:rPr>
                <w:rFonts w:ascii="仿宋_GB2312" w:hAnsi="仿宋_GB2312" w:cs="仿宋_GB2312" w:eastAsia="仿宋_GB2312"/>
                <w:sz w:val="21"/>
                <w:color w:val="241FFF"/>
              </w:rPr>
              <w:t>354.60平方米，建设内容包括:江北生活垃圾压缩转运站升压站的所有土建（含拆除）、完成室外绿化、卸料平台地面、坡道、道路及管网等室外工程。</w:t>
            </w:r>
          </w:p>
          <w:p>
            <w:pPr>
              <w:pStyle w:val="null3"/>
              <w:jc w:val="both"/>
            </w:pPr>
            <w:r>
              <w:rPr>
                <w:rFonts w:ascii="仿宋_GB2312" w:hAnsi="仿宋_GB2312" w:cs="仿宋_GB2312" w:eastAsia="仿宋_GB2312"/>
                <w:sz w:val="21"/>
                <w:color w:val="241FFF"/>
              </w:rPr>
              <w:t>2.工程量清单及图纸（详见附件）</w:t>
            </w:r>
          </w:p>
          <w:p>
            <w:pPr>
              <w:pStyle w:val="null3"/>
              <w:jc w:val="both"/>
            </w:pPr>
            <w:r>
              <w:rPr>
                <w:rFonts w:ascii="仿宋_GB2312" w:hAnsi="仿宋_GB2312" w:cs="仿宋_GB2312" w:eastAsia="仿宋_GB2312"/>
                <w:sz w:val="21"/>
                <w:color w:val="241FFF"/>
              </w:rPr>
              <w:t>3.计划工期：60日历天</w:t>
            </w:r>
          </w:p>
          <w:p>
            <w:pPr>
              <w:pStyle w:val="null3"/>
              <w:jc w:val="both"/>
            </w:pPr>
            <w:r>
              <w:rPr>
                <w:rFonts w:ascii="仿宋_GB2312" w:hAnsi="仿宋_GB2312" w:cs="仿宋_GB2312" w:eastAsia="仿宋_GB2312"/>
                <w:sz w:val="21"/>
                <w:color w:val="241FFF"/>
              </w:rPr>
              <w:t>4.质保期：验收合格后5年</w:t>
            </w:r>
          </w:p>
          <w:p>
            <w:pPr>
              <w:pStyle w:val="null3"/>
              <w:jc w:val="both"/>
            </w:pPr>
            <w:r>
              <w:rPr>
                <w:rFonts w:ascii="仿宋_GB2312" w:hAnsi="仿宋_GB2312" w:cs="仿宋_GB2312" w:eastAsia="仿宋_GB2312"/>
                <w:sz w:val="21"/>
                <w:color w:val="241FFF"/>
              </w:rPr>
              <w:t>5.质量标准：</w:t>
            </w:r>
            <w:r>
              <w:rPr>
                <w:rFonts w:ascii="仿宋_GB2312" w:hAnsi="仿宋_GB2312" w:cs="仿宋_GB2312" w:eastAsia="仿宋_GB2312"/>
                <w:sz w:val="21"/>
                <w:color w:val="241FFF"/>
              </w:rPr>
              <w:t>符合国家现行有关施工质量验收规范</w:t>
            </w:r>
            <w:r>
              <w:rPr>
                <w:rFonts w:ascii="仿宋_GB2312" w:hAnsi="仿宋_GB2312" w:cs="仿宋_GB2312" w:eastAsia="仿宋_GB2312"/>
                <w:sz w:val="21"/>
                <w:color w:val="241FFF"/>
              </w:rPr>
              <w:t>“合格”要求</w:t>
            </w:r>
          </w:p>
          <w:p>
            <w:pPr>
              <w:pStyle w:val="null3"/>
              <w:jc w:val="both"/>
            </w:pPr>
            <w:r>
              <w:rPr>
                <w:rFonts w:ascii="仿宋_GB2312" w:hAnsi="仿宋_GB2312" w:cs="仿宋_GB2312" w:eastAsia="仿宋_GB2312"/>
                <w:sz w:val="21"/>
                <w:color w:val="241FFF"/>
              </w:rPr>
              <w:t>6.建设地点：汉中勉县和平西路以南，李大拐沟以东，江北垃圾压缩转运站</w:t>
            </w:r>
          </w:p>
          <w:p>
            <w:pPr>
              <w:pStyle w:val="null3"/>
            </w:pPr>
            <w:r>
              <w:rPr>
                <w:rFonts w:ascii="仿宋_GB2312" w:hAnsi="仿宋_GB2312" w:cs="仿宋_GB2312" w:eastAsia="仿宋_GB2312"/>
                <w:sz w:val="21"/>
                <w:color w:val="241FFF"/>
              </w:rPr>
              <w:t>7.付款方式：合同签订后支付暂定合同总金额（不含安全文明施工费）的40%预付款，主体完工后支付暂定合同总金额（不含安全文明施工费）的20%，竣工验收后支付暂定合同总金额（不含安全文明施工费）的25%，审计定案后支付至审定结算金额的97%，剩余的3%为质保金，质保期结束后无质量问题无息退还。安全文明施工费在开工前一次性足额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供应商拟派项目经理须具备建设行政主管部门颁发的【注册建造师二级】及以上执业资格（市政公用工程专业），且具备有效的安全生产考核证（建安B证），在本单位注册执业资格且未担任其他在建工程项目的项目经理(提供无在建项目承诺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投标函附录.docx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且身份信息与营业执照上对应信息一致。法定代表人授权代表参加磋商的，须出具法定代表人授权委托书及授权代表身份证复印件；自然人参加磋商的须提供身份证复印件； 注：以磋商响应文件中所附签章齐全的法定代表人身份证明或法定代表人授权委托书为准。</w:t>
            </w:r>
          </w:p>
        </w:tc>
        <w:tc>
          <w:tcPr>
            <w:tcW w:type="dxa" w:w="1661"/>
          </w:tcPr>
          <w:p>
            <w:pPr>
              <w:pStyle w:val="null3"/>
            </w:pPr>
            <w:r>
              <w:rPr>
                <w:rFonts w:ascii="仿宋_GB2312" w:hAnsi="仿宋_GB2312" w:cs="仿宋_GB2312" w:eastAsia="仿宋_GB2312"/>
              </w:rPr>
              <w:t>法定代表人（单位负责人）身份证明或授权委托书.docx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投标函附录.docx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投标函附录.docx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投标函附录.docx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每轮总报价唯一且未超过本项目最高限价</w:t>
            </w:r>
          </w:p>
        </w:tc>
        <w:tc>
          <w:tcPr>
            <w:tcW w:type="dxa" w:w="1661"/>
          </w:tcPr>
          <w:p>
            <w:pPr>
              <w:pStyle w:val="null3"/>
            </w:pPr>
            <w:r>
              <w:rPr>
                <w:rFonts w:ascii="仿宋_GB2312" w:hAnsi="仿宋_GB2312" w:cs="仿宋_GB2312" w:eastAsia="仿宋_GB2312"/>
              </w:rPr>
              <w:t>已标价工程量清单 投标函附录.docx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评审得分相同的，按照最后报价由低到高的顺序推荐。评审得分且最后报价相同的，按照"施工技术措施"优劣顺序推荐。评审得分且最后报价且"施工技术措施"得分均相同的，成交候选供应商并列。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施工组织部署及施工总平面布置</w:t>
            </w:r>
          </w:p>
        </w:tc>
        <w:tc>
          <w:tcPr>
            <w:tcW w:type="dxa" w:w="2492"/>
          </w:tcPr>
          <w:p>
            <w:pPr>
              <w:pStyle w:val="null3"/>
            </w:pPr>
            <w:r>
              <w:rPr>
                <w:rFonts w:ascii="仿宋_GB2312" w:hAnsi="仿宋_GB2312" w:cs="仿宋_GB2312" w:eastAsia="仿宋_GB2312"/>
              </w:rPr>
              <w:t>1.施工组织部署详尽阐述，施工总平面布置明确具体且针对性充足的，得4分； 2.施工组织部署及施工总平面布置明确，且具有一定针对性的，得3分； 3.施工组织部署及施工总平面布置含糊，但具有一定针对性的，得2分； 4.施工组织部署及施工总平面布置含糊，内容空洞且不具有针对性的，得1分；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施工技术措施</w:t>
            </w:r>
          </w:p>
        </w:tc>
        <w:tc>
          <w:tcPr>
            <w:tcW w:type="dxa" w:w="2492"/>
          </w:tcPr>
          <w:p>
            <w:pPr>
              <w:pStyle w:val="null3"/>
            </w:pPr>
            <w:r>
              <w:rPr>
                <w:rFonts w:ascii="仿宋_GB2312" w:hAnsi="仿宋_GB2312" w:cs="仿宋_GB2312" w:eastAsia="仿宋_GB2312"/>
              </w:rPr>
              <w:t>1.施工技术措施详细具体合理，衔接紧密且具有针对性，得9分； 2.施工技术措施详细具体且具有一定合理性，各阶段工作衔接基本紧密且具有一定针对性，得7分； 3.施工技术措施明确，各阶段工作有一定衔接性及针对性，得5分； 4.施工技术措施基本明确，各阶段工作衔接性及方案针对性不足，得3分； 5.施工技术措施含糊，各阶段工作无衔接无针对性，得1分；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确保施工进度的技术组织措施</w:t>
            </w:r>
          </w:p>
        </w:tc>
        <w:tc>
          <w:tcPr>
            <w:tcW w:type="dxa" w:w="2492"/>
          </w:tcPr>
          <w:p>
            <w:pPr>
              <w:pStyle w:val="null3"/>
            </w:pPr>
            <w:r>
              <w:rPr>
                <w:rFonts w:ascii="仿宋_GB2312" w:hAnsi="仿宋_GB2312" w:cs="仿宋_GB2312" w:eastAsia="仿宋_GB2312"/>
              </w:rPr>
              <w:t>1.施工进度计划详细具体，合理可行，施工进度表或施工网络图绘制规范、得当，有确保工期的技术组织措施且措施合理得当的，得7分； 2.施工进度计划明确且基本合理，有施工进度表或施工网络图，有确保工期的技术组织措施且措施内容基本合理的，得5分； 3.施工进度计划明确且基本合理，有施工进度表或施工网络图，确保工期的技术组织措施内容不全或不合理，且未贴合实际的，得3分。 4.施工进度计划含糊且合理性不足，无施工进度表或施工网络图，确保工期的技术组织措施内容不全或不合理，且未贴合实际的，得1分。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1.工程质量技术管理机构和制度完善，具有健全的质量管理体系，主要工序有完善合理的质量技术保证措施的，得7分； 2.工程质量技术管理机构和制度较完善，具有健全的质量管理体系，主要工序有较完善合理的质量技术保证措施的，得5分； 3.工程质量技术管理机构和制度明确，无质量管理体系，主要工序有较完善的质量技术保证措施的，得3分； 4.工程质量技术管理机构和制度含糊，无质量管理体系，主要工序无质量技术保证措施含糊或有实质性缺陷，得1分。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1.针对本项目安全生产的技术的组织措施详细具体切实可行的，得7分； 2.针对本项目安全生产的技术的组织措施明确且具有可行性，得5分； 3.针对本项目安全生产的技术的组织措施明确但可行性不足，得3分。 4.针对本项目安全生产的技术的组织措施粗略且可行性不足，得1分。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1.文明施工计划全面，文明施工组织措施合理可行的，得7分； 2.文明施工计划较全面，文明施工组织措施基本合理的，得5分； 3.文明施工计划较全面，文明施工组织措施不合理的，得3分。 4.文明施工计划不全面，文明施工组织措施不合理的，得1分。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1.环境卫生管理制度及管理职责详细具体，施工环境保护措施（包括但不限于施工现场环保扬尘预防措施和垃圾清运保证措施）完善的，得7分； 2.环境卫生管理制度及管理职责明确；施工环境保护措施较完善的，得5分； 3.环境卫生管理制度及管理职责较明确，施工环境保护措施不完善，得3分。 4.环境卫生管理制度及管理职责含糊，施工环境保护措施不完善，得1分。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1.施工机械配备投入计划详细全面、完善合理，得5分； 2.施工机械配备投入计划较为全面，基本合理，得4分； 3.施工机械配备投入计划明确，基本合理的，得3分； 4.施工机械配备投入计划基本明确，合理性不足，得2分； 5.施工机械配备投入计划粗略，合理性不足，无法满足项目需求，得1分。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1.项目经理具有市政工程类相关专业中级及以上职称证书者得3分，否则本分项不得分； 2.项目经理年龄在 30岁（含）至 60岁（含）之间者得2分，否则本分项不得分；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1.人员配备充足、安排合理、分工明确，得7分； 2.人员配备较充足、安排较合理、分工较明确，得5分； 3.人员配备基本充足、安排较基本合理、分工基本明确，得3分； 4.人员配备欠缺、安排不够合理、分工不够明确，得1分；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供应商提供2022年1月至今完成的类似业绩证明，每提供一份得2.5分，最高得5分；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1.评审范围：有效的磋商响应总报价（指经初审合格的供应商的磋商最终响应总报价）。 2.满足竞争性磋商文件要求且最终响应总报价价格最低的价格为磋商基准价，其价格分为满分。其他供应商的价格分统一按照下列公式计算： 磋商报价得分=（磋商基准价/最终响应总报价）×分值 3.评分分值计算保留小数点后两位，小数点后第三位“四舍五入”。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详见附件：投标函附录.docx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详见附件：法定代表人（单位负责人）身份证明或授权委托书.docx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