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AD017">
      <w:pPr>
        <w:pStyle w:val="4"/>
        <w:adjustRightInd w:val="0"/>
        <w:snapToGrid w:val="0"/>
        <w:spacing w:beforeLines="50" w:afterLines="50"/>
        <w:ind w:firstLine="0"/>
        <w:jc w:val="center"/>
        <w:outlineLvl w:val="0"/>
        <w:rPr>
          <w:rFonts w:ascii="宋体" w:hAnsi="宋体" w:cs="宋体"/>
          <w:b/>
          <w:color w:val="000000"/>
          <w:kern w:val="44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44"/>
          <w:sz w:val="44"/>
          <w:szCs w:val="44"/>
        </w:rPr>
        <w:t>政府采购合同格式（参考）</w:t>
      </w:r>
    </w:p>
    <w:p w14:paraId="44FFEBC7">
      <w:pPr>
        <w:pStyle w:val="21"/>
        <w:spacing w:line="360" w:lineRule="auto"/>
        <w:ind w:firstLine="480"/>
        <w:rPr>
          <w:rFonts w:hint="eastAsia" w:ascii="宋体" w:hAnsi="宋体"/>
          <w:color w:val="000000"/>
        </w:rPr>
      </w:pPr>
    </w:p>
    <w:p w14:paraId="149A4BC8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合同编号： </w:t>
      </w:r>
    </w:p>
    <w:p w14:paraId="3EAA7EF1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签订地点： </w:t>
      </w:r>
    </w:p>
    <w:p w14:paraId="014996C3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签订时间:</w:t>
      </w:r>
    </w:p>
    <w:p w14:paraId="1177352E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采购人（甲方）：</w:t>
      </w:r>
    </w:p>
    <w:p w14:paraId="13DED3DE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供应商（乙方）：</w:t>
      </w:r>
    </w:p>
    <w:p w14:paraId="17E9EDD7">
      <w:pPr>
        <w:pStyle w:val="21"/>
        <w:spacing w:beforeLines="50"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根据《中华人民共和国政府采购法》及实施条例、《中华人民共和国民法典》和甲方（采购项目编号：</w:t>
      </w:r>
      <w:r>
        <w:rPr>
          <w:rFonts w:hint="eastAsia" w:ascii="宋体" w:hAnsi="宋体" w:eastAsia="宋体"/>
          <w:color w:val="000000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color w:val="000000"/>
        </w:rPr>
        <w:t>）的竞争性磋商文件、竞争性磋商响应文件等有关规定，为确保甲方采购项目的顺利实施，甲、乙双方在平等自愿原则下签订本合同，并共同遵守如下条款：</w:t>
      </w:r>
    </w:p>
    <w:p w14:paraId="6841542B">
      <w:pPr>
        <w:pStyle w:val="21"/>
        <w:numPr>
          <w:ilvl w:val="0"/>
          <w:numId w:val="2"/>
        </w:numPr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合同标的（根据实际情况填写）</w:t>
      </w:r>
    </w:p>
    <w:tbl>
      <w:tblPr>
        <w:tblStyle w:val="13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5EC8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vAlign w:val="center"/>
          </w:tcPr>
          <w:p w14:paraId="7D2D3E1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服务名称</w:t>
            </w:r>
          </w:p>
        </w:tc>
        <w:tc>
          <w:tcPr>
            <w:tcW w:w="853" w:type="dxa"/>
            <w:vAlign w:val="center"/>
          </w:tcPr>
          <w:p w14:paraId="2C58DB6C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数量</w:t>
            </w:r>
          </w:p>
        </w:tc>
        <w:tc>
          <w:tcPr>
            <w:tcW w:w="711" w:type="dxa"/>
            <w:vAlign w:val="center"/>
          </w:tcPr>
          <w:p w14:paraId="6EDA47CC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单位</w:t>
            </w:r>
          </w:p>
        </w:tc>
        <w:tc>
          <w:tcPr>
            <w:tcW w:w="5656" w:type="dxa"/>
            <w:vAlign w:val="center"/>
          </w:tcPr>
          <w:p w14:paraId="17C36262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具体服务承诺(包含但不限于服务内容、范围和基本要求)</w:t>
            </w:r>
          </w:p>
        </w:tc>
      </w:tr>
      <w:tr w14:paraId="19416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vAlign w:val="center"/>
          </w:tcPr>
          <w:p w14:paraId="767730D8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3B4E0C8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0826CC7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项</w:t>
            </w:r>
          </w:p>
        </w:tc>
        <w:tc>
          <w:tcPr>
            <w:tcW w:w="5656" w:type="dxa"/>
            <w:vAlign w:val="center"/>
          </w:tcPr>
          <w:p w14:paraId="7D252E18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14:paraId="7415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vAlign w:val="center"/>
          </w:tcPr>
          <w:p w14:paraId="165F6D9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…</w:t>
            </w:r>
          </w:p>
        </w:tc>
        <w:tc>
          <w:tcPr>
            <w:tcW w:w="853" w:type="dxa"/>
            <w:vAlign w:val="center"/>
          </w:tcPr>
          <w:p w14:paraId="18637C3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29301BEB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656" w:type="dxa"/>
            <w:vAlign w:val="center"/>
          </w:tcPr>
          <w:p w14:paraId="749D1833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14:paraId="5AD96E99">
      <w:pPr>
        <w:pStyle w:val="21"/>
        <w:spacing w:beforeLines="50" w:afterLines="50" w:line="360" w:lineRule="auto"/>
        <w:ind w:firstLine="0" w:firstLineChars="0"/>
        <w:rPr>
          <w:rFonts w:ascii="宋体" w:hAnsi="宋体"/>
          <w:b/>
          <w:color w:val="000000"/>
        </w:rPr>
      </w:pPr>
    </w:p>
    <w:p w14:paraId="21A249C6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第二条 合同价款</w:t>
      </w:r>
    </w:p>
    <w:p w14:paraId="56B55478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  <w:highlight w:val="yellow"/>
        </w:rPr>
      </w:pPr>
      <w:r>
        <w:rPr>
          <w:rFonts w:hint="eastAsia" w:ascii="宋体" w:hAnsi="宋体"/>
          <w:color w:val="000000"/>
        </w:rPr>
        <w:t>1、合同总价为人民币大写：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000000"/>
        </w:rPr>
        <w:t>￥。</w:t>
      </w:r>
    </w:p>
    <w:p w14:paraId="2820A36A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2、本合同执行期间合同总价不变，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除发生本竞争性磋商文件第33.2条情况外，甲方无须另行向乙方支付本合同规定之外的其他任何费用</w:t>
      </w:r>
      <w:r>
        <w:rPr>
          <w:rFonts w:hint="eastAsia" w:ascii="宋体" w:hAnsi="宋体"/>
          <w:color w:val="000000"/>
        </w:rPr>
        <w:t>。</w:t>
      </w:r>
    </w:p>
    <w:p w14:paraId="04B22749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第三条 付款方式</w:t>
      </w:r>
    </w:p>
    <w:p w14:paraId="1F23D240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1、付款方式：</w:t>
      </w:r>
    </w:p>
    <w:p w14:paraId="39583DD0">
      <w:pPr>
        <w:pStyle w:val="22"/>
        <w:adjustRightInd/>
        <w:spacing w:line="360" w:lineRule="auto"/>
        <w:ind w:firstLine="480" w:firstLineChars="200"/>
        <w:contextualSpacing/>
        <w:jc w:val="both"/>
        <w:rPr>
          <w:rFonts w:hint="eastAsia" w:ascii="Times New Roman" w:cs="Times New Roman"/>
          <w:color w:val="auto"/>
          <w:u w:val="single"/>
          <w:lang w:val="en-US" w:eastAsia="zh-CN"/>
        </w:rPr>
      </w:pPr>
      <w:r>
        <w:rPr>
          <w:rFonts w:hint="eastAsia" w:ascii="Times New Roman" w:cs="Times New Roman"/>
          <w:color w:val="auto"/>
        </w:rPr>
        <w:t>支付方式：</w:t>
      </w:r>
      <w:r>
        <w:rPr>
          <w:rFonts w:hint="eastAsia" w:ascii="Times New Roman" w:cs="Times New Roman"/>
          <w:color w:val="auto"/>
          <w:u w:val="single"/>
          <w:lang w:val="en-US" w:eastAsia="zh-CN"/>
        </w:rPr>
        <w:t xml:space="preserve">                                                          </w:t>
      </w:r>
    </w:p>
    <w:p w14:paraId="68DB288C">
      <w:pPr>
        <w:pStyle w:val="22"/>
        <w:adjustRightInd/>
        <w:spacing w:line="360" w:lineRule="auto"/>
        <w:ind w:firstLine="480" w:firstLineChars="200"/>
        <w:contextualSpacing/>
        <w:jc w:val="both"/>
        <w:rPr>
          <w:rFonts w:hint="eastAsia" w:ascii="Times New Roman" w:eastAsia="宋体" w:cs="Times New Roman"/>
          <w:lang w:eastAsia="zh-CN"/>
        </w:rPr>
      </w:pPr>
      <w:r>
        <w:rPr>
          <w:rFonts w:hint="eastAsia" w:ascii="Times New Roman" w:cs="Times New Roman"/>
          <w:lang w:eastAsia="zh-CN"/>
        </w:rPr>
        <w:t>（</w:t>
      </w:r>
      <w:r>
        <w:rPr>
          <w:rFonts w:hint="eastAsia" w:ascii="Times New Roman" w:cs="Times New Roman"/>
          <w:lang w:val="en-US" w:eastAsia="zh-CN"/>
        </w:rPr>
        <w:t>具体支付方式由甲乙双方在签订合同时协商确定</w:t>
      </w:r>
      <w:r>
        <w:rPr>
          <w:rFonts w:hint="eastAsia" w:ascii="Times New Roman" w:cs="Times New Roman"/>
          <w:lang w:eastAsia="zh-CN"/>
        </w:rPr>
        <w:t>）</w:t>
      </w:r>
    </w:p>
    <w:p w14:paraId="79593F49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2、乙方须向甲方出具合法有效的完税发票，甲方进行支付结算。</w:t>
      </w:r>
    </w:p>
    <w:p w14:paraId="3A8FD28D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3、结算方式：银行转账。</w:t>
      </w:r>
    </w:p>
    <w:p w14:paraId="638368D8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bCs/>
          <w:color w:val="000000"/>
        </w:rPr>
        <w:t xml:space="preserve">第四条 </w:t>
      </w:r>
      <w:r>
        <w:rPr>
          <w:rFonts w:hint="eastAsia" w:ascii="宋体" w:hAnsi="宋体"/>
          <w:b/>
          <w:color w:val="000000"/>
        </w:rPr>
        <w:t>服务期限和地点</w:t>
      </w:r>
    </w:p>
    <w:p w14:paraId="4D53E6E0">
      <w:pPr>
        <w:pStyle w:val="21"/>
        <w:spacing w:beforeLines="50" w:afterLines="50" w:line="360" w:lineRule="auto"/>
        <w:ind w:firstLine="48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1、服务地点：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甲方指定的地点</w:t>
      </w:r>
    </w:p>
    <w:p w14:paraId="5E2EA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宋体" w:hAnsi="宋体" w:eastAsia="宋体"/>
          <w:bCs/>
          <w:color w:val="000000"/>
          <w:highlight w:val="yellow"/>
          <w:lang w:val="en-US" w:eastAsia="zh-CN"/>
        </w:rPr>
      </w:pPr>
      <w:r>
        <w:rPr>
          <w:rFonts w:hint="eastAsia" w:ascii="宋体" w:hAnsi="宋体"/>
          <w:bCs/>
          <w:color w:val="000000"/>
          <w:highlight w:val="none"/>
        </w:rPr>
        <w:t>2、</w:t>
      </w:r>
      <w:r>
        <w:rPr>
          <w:rFonts w:hint="eastAsia" w:ascii="宋体" w:hAnsi="宋体" w:eastAsia="宋体" w:cs="宋体"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服务期限：</w:t>
      </w:r>
      <w:r>
        <w:rPr>
          <w:rFonts w:hint="eastAsia" w:ascii="Times New Roman" w:hAnsi="宋体" w:eastAsia="宋体" w:cs="Times New Roman"/>
          <w:b w:val="0"/>
          <w:bCs/>
          <w:sz w:val="24"/>
          <w:szCs w:val="16"/>
          <w:highlight w:val="none"/>
          <w:lang w:val="en-US" w:eastAsia="zh-CN"/>
        </w:rPr>
        <w:t>合同签订后</w:t>
      </w:r>
      <w:r>
        <w:rPr>
          <w:rFonts w:hint="eastAsia" w:hAnsi="宋体" w:cs="Times New Roman"/>
          <w:b w:val="0"/>
          <w:bCs/>
          <w:sz w:val="24"/>
          <w:szCs w:val="16"/>
          <w:highlight w:val="none"/>
          <w:lang w:val="en-US" w:eastAsia="zh-CN"/>
        </w:rPr>
        <w:t>壹</w:t>
      </w:r>
      <w:r>
        <w:rPr>
          <w:rFonts w:hint="eastAsia" w:ascii="Times New Roman" w:hAnsi="宋体" w:eastAsia="宋体" w:cs="Times New Roman"/>
          <w:b w:val="0"/>
          <w:bCs/>
          <w:sz w:val="24"/>
          <w:szCs w:val="16"/>
          <w:highlight w:val="none"/>
          <w:lang w:val="en-US" w:eastAsia="zh-CN"/>
        </w:rPr>
        <w:t>年</w:t>
      </w: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  <w:highlight w:val="none"/>
          <w:lang w:val="en-US" w:eastAsia="zh-CN" w:bidi="ar-SA"/>
        </w:rPr>
        <w:t>。</w:t>
      </w:r>
    </w:p>
    <w:p w14:paraId="34F3B704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  <w:kern w:val="0"/>
        </w:rPr>
        <w:t xml:space="preserve">第五条 </w:t>
      </w:r>
      <w:r>
        <w:rPr>
          <w:rFonts w:hint="eastAsia" w:ascii="宋体" w:hAnsi="宋体"/>
          <w:b/>
          <w:color w:val="000000"/>
        </w:rPr>
        <w:t>履约保证金</w:t>
      </w:r>
    </w:p>
    <w:p w14:paraId="4C25AA2E">
      <w:pPr>
        <w:pStyle w:val="21"/>
        <w:spacing w:beforeLines="50" w:afterLines="50" w:line="360" w:lineRule="auto"/>
        <w:ind w:firstLine="480"/>
        <w:rPr>
          <w:rFonts w:ascii="宋体" w:hAnsi="宋体"/>
          <w:b/>
          <w:color w:val="000000"/>
        </w:rPr>
      </w:pPr>
      <w:r>
        <w:rPr>
          <w:rFonts w:hint="eastAsia" w:ascii="宋体" w:hAnsi="宋体"/>
          <w:color w:val="000000"/>
          <w:kern w:val="0"/>
        </w:rPr>
        <w:t>本项目不要求履约保证金。</w:t>
      </w:r>
    </w:p>
    <w:p w14:paraId="1382D16B">
      <w:pPr>
        <w:pStyle w:val="21"/>
        <w:spacing w:afterLines="50" w:line="360" w:lineRule="auto"/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第六条 违约责任</w:t>
      </w:r>
    </w:p>
    <w:p w14:paraId="45F1A7A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06A8AB8C"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第七条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合同的变更和终止</w:t>
      </w:r>
    </w:p>
    <w:p w14:paraId="57F76C69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cs="宋体"/>
          <w:color w:val="000000"/>
          <w:sz w:val="24"/>
        </w:rPr>
        <w:t>政府采购法》第49条、第5</w:t>
      </w:r>
      <w:r>
        <w:rPr>
          <w:rFonts w:hint="eastAsia" w:ascii="宋体" w:hAnsi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7D39CF17"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第八条 争议的解决</w:t>
      </w:r>
    </w:p>
    <w:p w14:paraId="35116B74">
      <w:pPr>
        <w:pStyle w:val="21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color w:val="000000"/>
          <w:kern w:val="0"/>
          <w:u w:val="single"/>
        </w:rPr>
        <w:t>2</w:t>
      </w:r>
      <w:r>
        <w:rPr>
          <w:rFonts w:hint="eastAsia" w:ascii="宋体" w:hAnsi="宋体"/>
          <w:color w:val="000000"/>
          <w:kern w:val="0"/>
        </w:rPr>
        <w:t>种方式解决争议：</w:t>
      </w:r>
    </w:p>
    <w:p w14:paraId="1AA128BF">
      <w:pPr>
        <w:pStyle w:val="21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（1）向甲方所在地有管辖权的人民法院提起诉讼；</w:t>
      </w:r>
    </w:p>
    <w:p w14:paraId="4DFA9C30">
      <w:pPr>
        <w:pStyle w:val="21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（2）向</w:t>
      </w:r>
      <w:r>
        <w:rPr>
          <w:rFonts w:hint="eastAsia" w:ascii="宋体" w:hAnsi="宋体"/>
          <w:color w:val="000000"/>
          <w:kern w:val="0"/>
          <w:u w:val="single"/>
          <w:lang w:val="en-US" w:eastAsia="zh-CN"/>
        </w:rPr>
        <w:t xml:space="preserve"> 勉县  </w:t>
      </w:r>
      <w:r>
        <w:rPr>
          <w:rFonts w:hint="eastAsia" w:ascii="宋体" w:hAnsi="宋体"/>
          <w:color w:val="000000"/>
          <w:kern w:val="0"/>
        </w:rPr>
        <w:t>仲裁委员会申请仲裁。</w:t>
      </w:r>
    </w:p>
    <w:p w14:paraId="7E3D4F43">
      <w:pPr>
        <w:pStyle w:val="21"/>
        <w:spacing w:line="360" w:lineRule="auto"/>
        <w:ind w:firstLine="480"/>
        <w:rPr>
          <w:rFonts w:ascii="宋体" w:hAnsi="宋体"/>
          <w:b/>
          <w:color w:val="000000"/>
        </w:rPr>
      </w:pPr>
      <w:r>
        <w:rPr>
          <w:rFonts w:hint="eastAsia" w:ascii="宋体" w:hAnsi="宋体"/>
          <w:color w:val="000000"/>
          <w:kern w:val="0"/>
        </w:rPr>
        <w:t>2、在仲裁期间，本合同应继续履行。</w:t>
      </w:r>
    </w:p>
    <w:p w14:paraId="557AEC57">
      <w:pPr>
        <w:snapToGrid w:val="0"/>
        <w:spacing w:beforeLines="50" w:afterLines="50" w:line="360" w:lineRule="auto"/>
        <w:ind w:firstLine="480" w:firstLineChars="200"/>
        <w:textAlignment w:val="baseline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第九条合同文件</w:t>
      </w:r>
    </w:p>
    <w:p w14:paraId="79C15858">
      <w:pPr>
        <w:snapToGrid w:val="0"/>
        <w:spacing w:beforeLines="50" w:afterLines="50" w:line="360" w:lineRule="auto"/>
        <w:ind w:firstLine="480" w:firstLineChars="200"/>
        <w:textAlignment w:val="baseline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77530107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1、本合同书</w:t>
      </w:r>
    </w:p>
    <w:p w14:paraId="07473D89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2、成交通知书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0A6B2A19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3、协议</w:t>
      </w:r>
    </w:p>
    <w:p w14:paraId="01B6025D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4、竞争性磋商文件(含澄清文件)</w:t>
      </w:r>
    </w:p>
    <w:p w14:paraId="3C7B4AC7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5、竞争性磋商响应文件</w:t>
      </w:r>
    </w:p>
    <w:p w14:paraId="109D84BD">
      <w:pPr>
        <w:snapToGrid w:val="0"/>
        <w:spacing w:beforeLines="50" w:afterLines="50" w:line="360" w:lineRule="auto"/>
        <w:ind w:firstLine="539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第十条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合同生效及其他</w:t>
      </w:r>
    </w:p>
    <w:p w14:paraId="16E2BE65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</w:t>
      </w:r>
      <w:r>
        <w:rPr>
          <w:rFonts w:hint="eastAsia" w:ascii="宋体" w:hAnsi="宋体" w:cs="宋体"/>
          <w:color w:val="000000"/>
          <w:sz w:val="24"/>
        </w:rPr>
        <w:t>如有未尽事宜，由双方依法订立补充合同。</w:t>
      </w:r>
    </w:p>
    <w:p w14:paraId="7A2C333A">
      <w:pPr>
        <w:snapToGrid w:val="0"/>
        <w:spacing w:line="360" w:lineRule="auto"/>
        <w:ind w:firstLine="539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2、本合同自签订之日起生效。</w:t>
      </w:r>
    </w:p>
    <w:p w14:paraId="15F68C8C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3C2EB65E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乙方：   （盖章）</w:t>
      </w:r>
    </w:p>
    <w:p w14:paraId="66B59686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                         法定代表人</w:t>
      </w:r>
    </w:p>
    <w:p w14:paraId="21CD0DF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授权代表：                         授权代表：</w:t>
      </w:r>
    </w:p>
    <w:p w14:paraId="3A34FE50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地    址：                         地    址：</w:t>
      </w:r>
    </w:p>
    <w:p w14:paraId="4522F22C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                         开户银行：</w:t>
      </w:r>
    </w:p>
    <w:p w14:paraId="295123DA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    号：                         账    号：</w:t>
      </w:r>
    </w:p>
    <w:p w14:paraId="1AECDC7A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    话：                         电    话：</w:t>
      </w:r>
    </w:p>
    <w:p w14:paraId="5B4FCC1B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    真：                         传    真：</w:t>
      </w:r>
    </w:p>
    <w:p w14:paraId="4D74886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签约日期：    年  月  日           签约日期：    年  月  日</w:t>
      </w:r>
    </w:p>
    <w:p w14:paraId="54A0B8BD">
      <w:pPr>
        <w:spacing w:line="360" w:lineRule="auto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2594DACA">
      <w:pPr>
        <w:pStyle w:val="2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2323C587">
      <w:pPr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7CEA305B">
      <w:pPr>
        <w:pStyle w:val="2"/>
        <w:rPr>
          <w:rFonts w:hint="eastAsia" w:ascii="宋体" w:hAnsi="宋体" w:eastAsia="宋体" w:cs="宋体"/>
          <w:spacing w:val="6"/>
          <w:sz w:val="24"/>
          <w:szCs w:val="24"/>
        </w:rPr>
      </w:pPr>
      <w:bookmarkStart w:id="0" w:name="_GoBack"/>
      <w:bookmarkEnd w:id="0"/>
    </w:p>
    <w:p w14:paraId="20B1A06D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本合同仅供参考，具体以甲乙双方约定为准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134" w:right="1474" w:bottom="1134" w:left="1474" w:header="851" w:footer="73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3BF89">
    <w:pPr>
      <w:spacing w:line="171" w:lineRule="auto"/>
      <w:rPr>
        <w:rFonts w:ascii="Times New Roman" w:hAnsi="Times New Roman" w:eastAsia="Times New Roman" w:cs="Times New Roman"/>
        <w:sz w:val="15"/>
        <w:szCs w:val="15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00737">
    <w:pPr>
      <w:pStyle w:val="10"/>
      <w:pBdr>
        <w:bottom w:val="none" w:color="auto" w:sz="0" w:space="0"/>
      </w:pBdr>
      <w:jc w:val="both"/>
      <w:rPr>
        <w:rFonts w:ascii="黑体" w:eastAsia="黑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0C536B4D"/>
    <w:multiLevelType w:val="multilevel"/>
    <w:tmpl w:val="0C536B4D"/>
    <w:lvl w:ilvl="0" w:tentative="0">
      <w:start w:val="1"/>
      <w:numFmt w:val="decimal"/>
      <w:lvlText w:val="第 %1 章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718" w:hanging="576"/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4" w:tentative="0">
      <w:start w:val="1"/>
      <w:numFmt w:val="decimal"/>
      <w:lvlText w:val="%1.%2.%3.%4.%5 "/>
      <w:lvlJc w:val="left"/>
      <w:pPr>
        <w:tabs>
          <w:tab w:val="left" w:pos="284"/>
        </w:tabs>
        <w:ind w:left="12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lvlText w:val="%7. "/>
      <w:lvlJc w:val="left"/>
      <w:pPr>
        <w:tabs>
          <w:tab w:val="left" w:pos="879"/>
        </w:tabs>
        <w:ind w:left="879" w:hanging="397"/>
      </w:pPr>
      <w:rPr>
        <w:rFonts w:hint="eastAsia"/>
      </w:rPr>
    </w:lvl>
    <w:lvl w:ilvl="7" w:tentative="0">
      <w:start w:val="1"/>
      <w:numFmt w:val="bullet"/>
      <w:lvlText w:val=""/>
      <w:lvlJc w:val="left"/>
      <w:pPr>
        <w:tabs>
          <w:tab w:val="left" w:pos="1281"/>
        </w:tabs>
        <w:ind w:left="1281" w:hanging="402"/>
      </w:pPr>
      <w:rPr>
        <w:rFonts w:hint="default" w:ascii="Symbol" w:hAnsi="Symbol"/>
        <w:color w:val="auto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012B62D0"/>
    <w:rsid w:val="017A1B3F"/>
    <w:rsid w:val="01C0309B"/>
    <w:rsid w:val="01E21263"/>
    <w:rsid w:val="02E1151B"/>
    <w:rsid w:val="03DC1D72"/>
    <w:rsid w:val="03F67248"/>
    <w:rsid w:val="081859DF"/>
    <w:rsid w:val="0A2A37A7"/>
    <w:rsid w:val="0DB5782C"/>
    <w:rsid w:val="0E80498C"/>
    <w:rsid w:val="109A0F5B"/>
    <w:rsid w:val="10AA5642"/>
    <w:rsid w:val="19313A0D"/>
    <w:rsid w:val="194C3802"/>
    <w:rsid w:val="19C01025"/>
    <w:rsid w:val="1A976C37"/>
    <w:rsid w:val="1F7532BF"/>
    <w:rsid w:val="1FF32ECF"/>
    <w:rsid w:val="20A91567"/>
    <w:rsid w:val="214E366E"/>
    <w:rsid w:val="27673E35"/>
    <w:rsid w:val="28AF339E"/>
    <w:rsid w:val="2B9B71F5"/>
    <w:rsid w:val="2BDC315C"/>
    <w:rsid w:val="2D216834"/>
    <w:rsid w:val="30395C43"/>
    <w:rsid w:val="339F04B3"/>
    <w:rsid w:val="34014CC9"/>
    <w:rsid w:val="355F439E"/>
    <w:rsid w:val="37160A8C"/>
    <w:rsid w:val="376E2676"/>
    <w:rsid w:val="385E6B8E"/>
    <w:rsid w:val="393972B4"/>
    <w:rsid w:val="39900FC9"/>
    <w:rsid w:val="39F50E2C"/>
    <w:rsid w:val="3C4A3743"/>
    <w:rsid w:val="3D262316"/>
    <w:rsid w:val="3DF833E6"/>
    <w:rsid w:val="40387CC5"/>
    <w:rsid w:val="43E066A9"/>
    <w:rsid w:val="44DD12F8"/>
    <w:rsid w:val="46F32B98"/>
    <w:rsid w:val="49C03205"/>
    <w:rsid w:val="4B0C4228"/>
    <w:rsid w:val="4BB26B7D"/>
    <w:rsid w:val="4C017B05"/>
    <w:rsid w:val="4DE60D60"/>
    <w:rsid w:val="502B514A"/>
    <w:rsid w:val="51D11D27"/>
    <w:rsid w:val="51E23E3F"/>
    <w:rsid w:val="550F5041"/>
    <w:rsid w:val="55147E09"/>
    <w:rsid w:val="56494582"/>
    <w:rsid w:val="56E46059"/>
    <w:rsid w:val="5714693E"/>
    <w:rsid w:val="5B3D3F8A"/>
    <w:rsid w:val="5D064F7B"/>
    <w:rsid w:val="5E4A533B"/>
    <w:rsid w:val="5F8959EF"/>
    <w:rsid w:val="61A45F46"/>
    <w:rsid w:val="62E62F4B"/>
    <w:rsid w:val="65A90B99"/>
    <w:rsid w:val="678834BD"/>
    <w:rsid w:val="69FE33CB"/>
    <w:rsid w:val="6E2C680B"/>
    <w:rsid w:val="6F13110F"/>
    <w:rsid w:val="6FEE1FCA"/>
    <w:rsid w:val="701A2DBF"/>
    <w:rsid w:val="73012015"/>
    <w:rsid w:val="7656483B"/>
    <w:rsid w:val="7726078D"/>
    <w:rsid w:val="77CF26E1"/>
    <w:rsid w:val="77FE5D3C"/>
    <w:rsid w:val="78482494"/>
    <w:rsid w:val="7AD823EF"/>
    <w:rsid w:val="7AF81F4F"/>
    <w:rsid w:val="7D1B3CD3"/>
    <w:rsid w:val="7D3B041C"/>
    <w:rsid w:val="7E161C15"/>
    <w:rsid w:val="7FEB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20" w:after="120" w:line="360" w:lineRule="auto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4"/>
    <w:basedOn w:val="1"/>
    <w:next w:val="1"/>
    <w:qFormat/>
    <w:uiPriority w:val="0"/>
    <w:pPr>
      <w:numPr>
        <w:ilvl w:val="3"/>
        <w:numId w:val="1"/>
      </w:numPr>
      <w:tabs>
        <w:tab w:val="left" w:pos="0"/>
      </w:tabs>
      <w:spacing w:before="200" w:after="80" w:line="360" w:lineRule="auto"/>
      <w:outlineLvl w:val="3"/>
    </w:pPr>
    <w:rPr>
      <w:rFonts w:ascii="Times New Roman" w:hAnsi="Times New Roman" w:eastAsia="宋体" w:cs="Times New Roman"/>
      <w:b/>
      <w:iCs/>
      <w:sz w:val="24"/>
      <w:szCs w:val="24"/>
      <w:lang w:bidi="en-US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Body Text Indent"/>
    <w:basedOn w:val="1"/>
    <w:next w:val="7"/>
    <w:qFormat/>
    <w:uiPriority w:val="0"/>
    <w:pPr>
      <w:ind w:firstLine="552"/>
    </w:pPr>
    <w:rPr>
      <w:rFonts w:ascii="宋体"/>
      <w:sz w:val="28"/>
    </w:rPr>
  </w:style>
  <w:style w:type="paragraph" w:customStyle="1" w:styleId="7">
    <w:name w:val="font5"/>
    <w:basedOn w:val="1"/>
    <w:autoRedefine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4"/>
    </w:r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Body Text First Indent"/>
    <w:basedOn w:val="5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6"/>
    <w:next w:val="11"/>
    <w:qFormat/>
    <w:uiPriority w:val="0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15">
    <w:name w:val="一级条标题"/>
    <w:basedOn w:val="16"/>
    <w:next w:val="17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16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17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8">
    <w:name w:val="HTML 预设格式1"/>
    <w:basedOn w:val="1"/>
    <w:autoRedefine/>
    <w:qFormat/>
    <w:uiPriority w:val="0"/>
    <w:rPr>
      <w:rFonts w:ascii="Courier New" w:hAnsi="Courier New"/>
      <w:sz w:val="20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sz w:val="24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21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2347</Words>
  <Characters>2375</Characters>
  <Lines>0</Lines>
  <Paragraphs>0</Paragraphs>
  <TotalTime>0</TotalTime>
  <ScaleCrop>false</ScaleCrop>
  <LinksUpToDate>false</LinksUpToDate>
  <CharactersWithSpaces>2570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2024-04-15T03:16:00Z</dcterms:created>
  <dc:creator>Administrator</dc:creator>
  <cp:lastModifiedBy>'醉清风</cp:lastModifiedBy>
  <dcterms:modified xsi:type="dcterms:W3CDTF">2025-12-23T07:04:46Z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BAA9859E47394473B06E82F2695F6F46_12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