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4D641">
      <w:pPr>
        <w:spacing w:line="360" w:lineRule="auto"/>
        <w:ind w:left="1080" w:leftChars="257" w:hanging="540"/>
        <w:jc w:val="center"/>
        <w:outlineLvl w:val="0"/>
        <w:rPr>
          <w:rFonts w:eastAsia="仿宋_GB2312"/>
          <w:b/>
          <w:kern w:val="44"/>
          <w:sz w:val="32"/>
          <w:szCs w:val="20"/>
        </w:rPr>
      </w:pPr>
      <w:r>
        <w:rPr>
          <w:rStyle w:val="7"/>
          <w:rFonts w:ascii="Times New Roman" w:eastAsia="仿宋_GB2312"/>
          <w:szCs w:val="32"/>
        </w:rPr>
        <w:t>拟签订的合同</w:t>
      </w:r>
      <w:bookmarkStart w:id="0" w:name="_Hlt487972895"/>
      <w:bookmarkEnd w:id="0"/>
      <w:bookmarkStart w:id="1" w:name="_Toc216513788"/>
      <w:bookmarkStart w:id="2" w:name="_Toc487900382"/>
      <w:r>
        <w:rPr>
          <w:rStyle w:val="7"/>
          <w:rFonts w:ascii="Times New Roman" w:eastAsia="仿宋_GB2312"/>
          <w:szCs w:val="32"/>
        </w:rPr>
        <w:t>文本</w:t>
      </w:r>
      <w:bookmarkEnd w:id="1"/>
      <w:bookmarkEnd w:id="2"/>
    </w:p>
    <w:p w14:paraId="1181ACFC">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rPr>
      </w:pPr>
      <w:r>
        <w:rPr>
          <w:rFonts w:eastAsia="仿宋_GB2312"/>
          <w:kern w:val="0"/>
          <w:sz w:val="24"/>
        </w:rPr>
        <w:t>甲方：</w:t>
      </w:r>
      <w:r>
        <w:rPr>
          <w:rFonts w:eastAsia="仿宋_GB2312"/>
          <w:kern w:val="0"/>
          <w:sz w:val="24"/>
          <w:u w:val="single"/>
        </w:rPr>
        <w:t xml:space="preserve">               </w:t>
      </w:r>
    </w:p>
    <w:p w14:paraId="068D6690">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rPr>
      </w:pPr>
      <w:r>
        <w:rPr>
          <w:rFonts w:eastAsia="仿宋_GB2312"/>
          <w:kern w:val="0"/>
          <w:sz w:val="24"/>
        </w:rPr>
        <w:t xml:space="preserve">法定代表人：      住所地： </w:t>
      </w:r>
    </w:p>
    <w:p w14:paraId="5419B6AA">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rPr>
      </w:pPr>
      <w:r>
        <w:rPr>
          <w:rFonts w:eastAsia="仿宋_GB2312"/>
          <w:kern w:val="0"/>
          <w:sz w:val="24"/>
        </w:rPr>
        <w:t>乙方：</w:t>
      </w:r>
      <w:r>
        <w:rPr>
          <w:rFonts w:eastAsia="仿宋_GB2312"/>
          <w:kern w:val="0"/>
          <w:sz w:val="24"/>
          <w:u w:val="single"/>
        </w:rPr>
        <w:t xml:space="preserve">               </w:t>
      </w:r>
    </w:p>
    <w:p w14:paraId="66E878F3">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rPr>
      </w:pPr>
      <w:r>
        <w:rPr>
          <w:rFonts w:eastAsia="仿宋_GB2312"/>
          <w:kern w:val="0"/>
          <w:sz w:val="24"/>
        </w:rPr>
        <w:t>法定代表人：      住所地：</w:t>
      </w:r>
    </w:p>
    <w:p w14:paraId="1315120E">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rPr>
      </w:pPr>
      <w:r>
        <w:rPr>
          <w:rFonts w:eastAsia="仿宋_GB2312"/>
          <w:kern w:val="0"/>
          <w:sz w:val="24"/>
        </w:rPr>
        <w:t xml:space="preserve"> </w:t>
      </w:r>
      <w:r>
        <w:rPr>
          <w:rFonts w:eastAsia="仿宋_GB2312"/>
          <w:kern w:val="0"/>
          <w:sz w:val="24"/>
          <w:u w:val="single"/>
        </w:rPr>
        <w:t xml:space="preserve">              </w:t>
      </w:r>
      <w:r>
        <w:rPr>
          <w:rFonts w:eastAsia="仿宋_GB2312"/>
          <w:kern w:val="0"/>
          <w:sz w:val="24"/>
        </w:rPr>
        <w:t>采购项目，选定</w:t>
      </w:r>
      <w:r>
        <w:rPr>
          <w:rFonts w:eastAsia="仿宋_GB2312"/>
          <w:kern w:val="0"/>
          <w:sz w:val="24"/>
          <w:u w:val="single"/>
        </w:rPr>
        <w:t xml:space="preserve">              </w:t>
      </w:r>
      <w:r>
        <w:rPr>
          <w:rFonts w:eastAsia="仿宋_GB2312"/>
          <w:kern w:val="0"/>
          <w:sz w:val="24"/>
        </w:rPr>
        <w:t>为供货单位。经             （以下简称甲方）与</w:t>
      </w:r>
      <w:r>
        <w:rPr>
          <w:rFonts w:eastAsia="仿宋_GB2312"/>
          <w:kern w:val="0"/>
          <w:sz w:val="24"/>
          <w:u w:val="single"/>
        </w:rPr>
        <w:t xml:space="preserve">                </w:t>
      </w:r>
      <w:r>
        <w:rPr>
          <w:rFonts w:eastAsia="仿宋_GB2312"/>
          <w:kern w:val="0"/>
          <w:sz w:val="24"/>
        </w:rPr>
        <w:t>（以下简称乙方）共同协商，达成以下协议条款。</w:t>
      </w:r>
    </w:p>
    <w:p w14:paraId="3BB6EAA5">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rPr>
      </w:pPr>
      <w:r>
        <w:rPr>
          <w:rFonts w:eastAsia="仿宋_GB2312"/>
          <w:kern w:val="0"/>
          <w:sz w:val="24"/>
        </w:rPr>
        <w:t>第一条  协议内容（技术指标见附件）</w:t>
      </w:r>
    </w:p>
    <w:p w14:paraId="0FB77DFB">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rPr>
      </w:pPr>
      <w:r>
        <w:rPr>
          <w:rFonts w:eastAsia="仿宋_GB2312"/>
          <w:kern w:val="0"/>
          <w:sz w:val="24"/>
        </w:rPr>
        <w:t>（一）乙方负责按协议中确定的货物品牌、规格、型号、数量、原产地及配套内容进行供货；按时运到甲方指定的交货地点，负责货物到货后搬运工作，达到正常使用；负责为甲方培训维护人员，指导操作使用，提供检测服务及售后服务。</w:t>
      </w:r>
    </w:p>
    <w:p w14:paraId="22727E78">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rPr>
      </w:pPr>
      <w:r>
        <w:rPr>
          <w:rFonts w:eastAsia="仿宋_GB2312"/>
          <w:kern w:val="0"/>
          <w:sz w:val="24"/>
        </w:rPr>
        <w:t xml:space="preserve">（二）招标文件、乙方的投标文件及招标过程中的澄清、承诺内容均作为协议的组成部分，具有同等法律效力。 </w:t>
      </w:r>
    </w:p>
    <w:p w14:paraId="50A0C272">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rPr>
      </w:pPr>
      <w:r>
        <w:rPr>
          <w:rFonts w:eastAsia="仿宋_GB2312"/>
          <w:kern w:val="0"/>
          <w:sz w:val="24"/>
        </w:rPr>
        <w:t>第二条  协议价款（币种：人民币  单位：元）</w:t>
      </w:r>
    </w:p>
    <w:p w14:paraId="5957FE4E">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rPr>
      </w:pPr>
      <w:r>
        <w:rPr>
          <w:rFonts w:eastAsia="仿宋_GB2312"/>
          <w:kern w:val="0"/>
          <w:sz w:val="24"/>
        </w:rPr>
        <w:t>投标货物品牌、规格、产地、单价：详见供货清单。</w:t>
      </w:r>
    </w:p>
    <w:p w14:paraId="07BB212E">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rPr>
        <w:t>第三条  款</w:t>
      </w:r>
      <w:bookmarkStart w:id="3" w:name="_GoBack"/>
      <w:r>
        <w:rPr>
          <w:rFonts w:eastAsia="仿宋_GB2312"/>
          <w:kern w:val="0"/>
          <w:sz w:val="24"/>
          <w:highlight w:val="none"/>
        </w:rPr>
        <w:t>项结算</w:t>
      </w:r>
    </w:p>
    <w:p w14:paraId="24835EB7">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（一）合同价款由采购方负责结算，在付款前，成交供应商必须开具全额发票给采购方，否则，采购方有权拒绝付款，无需承担任何责任，且成交供应商不得以此为由拒绝履行协议义务。</w:t>
      </w:r>
    </w:p>
    <w:p w14:paraId="2228153A">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（二）货到后由采购方验收。验收合格并经采购方办理入库手续并签字确认，货款发票</w:t>
      </w:r>
      <w:r>
        <w:rPr>
          <w:rFonts w:hint="eastAsia" w:eastAsia="仿宋_GB2312"/>
          <w:kern w:val="0"/>
          <w:sz w:val="24"/>
          <w:highlight w:val="none"/>
          <w:lang w:val="en-US" w:eastAsia="zh-CN"/>
        </w:rPr>
        <w:t>同时开具给</w:t>
      </w:r>
      <w:r>
        <w:rPr>
          <w:rFonts w:eastAsia="仿宋_GB2312"/>
          <w:kern w:val="0"/>
          <w:sz w:val="24"/>
          <w:highlight w:val="none"/>
        </w:rPr>
        <w:t>采购</w:t>
      </w:r>
      <w:r>
        <w:rPr>
          <w:rFonts w:hint="eastAsia" w:eastAsia="仿宋_GB2312"/>
          <w:kern w:val="0"/>
          <w:sz w:val="24"/>
          <w:highlight w:val="none"/>
          <w:lang w:val="en-US" w:eastAsia="zh-CN"/>
        </w:rPr>
        <w:t>人</w:t>
      </w:r>
      <w:r>
        <w:rPr>
          <w:rFonts w:eastAsia="仿宋_GB2312"/>
          <w:kern w:val="0"/>
          <w:sz w:val="24"/>
          <w:highlight w:val="none"/>
        </w:rPr>
        <w:t>，</w:t>
      </w:r>
      <w:r>
        <w:rPr>
          <w:rFonts w:hint="eastAsia" w:eastAsia="仿宋_GB2312"/>
          <w:kern w:val="0"/>
          <w:sz w:val="24"/>
          <w:highlight w:val="none"/>
          <w:lang w:val="en-US" w:eastAsia="zh-CN"/>
        </w:rPr>
        <w:t>达到付款条件起15日</w:t>
      </w:r>
      <w:r>
        <w:rPr>
          <w:rFonts w:eastAsia="仿宋_GB2312"/>
          <w:kern w:val="0"/>
          <w:sz w:val="24"/>
          <w:highlight w:val="none"/>
        </w:rPr>
        <w:t>内据实结算</w:t>
      </w:r>
      <w:r>
        <w:rPr>
          <w:rFonts w:hint="eastAsia" w:eastAsia="仿宋_GB2312"/>
          <w:kern w:val="0"/>
          <w:sz w:val="24"/>
          <w:highlight w:val="none"/>
          <w:lang w:eastAsia="zh-CN"/>
        </w:rPr>
        <w:t>（</w:t>
      </w:r>
      <w:r>
        <w:rPr>
          <w:rFonts w:eastAsia="仿宋_GB2312"/>
          <w:kern w:val="0"/>
          <w:sz w:val="24"/>
          <w:highlight w:val="none"/>
          <w:lang w:val="en-US" w:eastAsia="zh-CN"/>
        </w:rPr>
        <w:t>货物</w:t>
      </w:r>
      <w:r>
        <w:rPr>
          <w:rFonts w:hint="eastAsia" w:eastAsia="仿宋_GB2312"/>
          <w:kern w:val="0"/>
          <w:sz w:val="24"/>
          <w:highlight w:val="none"/>
          <w:lang w:val="en-US" w:eastAsia="zh-CN"/>
        </w:rPr>
        <w:t>按</w:t>
      </w:r>
      <w:r>
        <w:rPr>
          <w:rFonts w:eastAsia="仿宋_GB2312"/>
          <w:kern w:val="0"/>
          <w:sz w:val="24"/>
          <w:highlight w:val="none"/>
          <w:lang w:val="en-US" w:eastAsia="zh-CN"/>
        </w:rPr>
        <w:t>每</w:t>
      </w:r>
      <w:r>
        <w:rPr>
          <w:rFonts w:hint="eastAsia" w:eastAsia="仿宋_GB2312"/>
          <w:kern w:val="0"/>
          <w:sz w:val="24"/>
          <w:highlight w:val="none"/>
          <w:lang w:val="en-US" w:eastAsia="zh-CN"/>
        </w:rPr>
        <w:t>季度</w:t>
      </w:r>
      <w:r>
        <w:rPr>
          <w:rFonts w:eastAsia="仿宋_GB2312"/>
          <w:kern w:val="0"/>
          <w:sz w:val="24"/>
          <w:highlight w:val="none"/>
          <w:lang w:val="en-US" w:eastAsia="zh-CN"/>
        </w:rPr>
        <w:t>据实结算，每</w:t>
      </w:r>
      <w:r>
        <w:rPr>
          <w:rFonts w:hint="eastAsia" w:eastAsia="仿宋_GB2312"/>
          <w:kern w:val="0"/>
          <w:sz w:val="24"/>
          <w:highlight w:val="none"/>
          <w:lang w:val="en-US" w:eastAsia="zh-CN"/>
        </w:rPr>
        <w:t>季度</w:t>
      </w:r>
      <w:r>
        <w:rPr>
          <w:rFonts w:eastAsia="仿宋_GB2312"/>
          <w:kern w:val="0"/>
          <w:sz w:val="24"/>
          <w:highlight w:val="none"/>
          <w:lang w:val="en-US" w:eastAsia="zh-CN"/>
        </w:rPr>
        <w:t>供货满足结算要求时，结算</w:t>
      </w:r>
      <w:r>
        <w:rPr>
          <w:rFonts w:hint="eastAsia" w:eastAsia="仿宋_GB2312"/>
          <w:kern w:val="0"/>
          <w:sz w:val="24"/>
          <w:highlight w:val="none"/>
          <w:lang w:val="en-US" w:eastAsia="zh-CN"/>
        </w:rPr>
        <w:t>当季度的</w:t>
      </w:r>
      <w:r>
        <w:rPr>
          <w:rFonts w:eastAsia="仿宋_GB2312"/>
          <w:kern w:val="0"/>
          <w:sz w:val="24"/>
          <w:highlight w:val="none"/>
          <w:lang w:val="en-US" w:eastAsia="zh-CN"/>
        </w:rPr>
        <w:t>合同供货款</w:t>
      </w:r>
      <w:r>
        <w:rPr>
          <w:rFonts w:hint="eastAsia" w:eastAsia="仿宋_GB2312"/>
          <w:kern w:val="0"/>
          <w:sz w:val="24"/>
          <w:highlight w:val="none"/>
          <w:lang w:val="en-US" w:eastAsia="zh-CN"/>
        </w:rPr>
        <w:t>）</w:t>
      </w:r>
      <w:r>
        <w:rPr>
          <w:rFonts w:eastAsia="仿宋_GB2312"/>
          <w:kern w:val="0"/>
          <w:sz w:val="24"/>
          <w:highlight w:val="none"/>
        </w:rPr>
        <w:t xml:space="preserve">。质保期内货物质量不符合本协议约定的技术、质量要求及国家归口管理部门要求，给采购方造成损失的，按照该合同协议书约定应承担的违约责任。 </w:t>
      </w:r>
    </w:p>
    <w:p w14:paraId="60B5D920">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第四条  双方的权利和义务</w:t>
      </w:r>
    </w:p>
    <w:p w14:paraId="6ED1EAB9">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（一）甲方责任</w:t>
      </w:r>
    </w:p>
    <w:p w14:paraId="22D92B64">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负责核准、认定本项目相关技术资料文档，监督、参与项目执行的整个过程，为乙方提供必要的工作条件，按照协议约定支付协议款项。</w:t>
      </w:r>
    </w:p>
    <w:p w14:paraId="7E2757CC">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（二）乙方责任</w:t>
      </w:r>
    </w:p>
    <w:p w14:paraId="15A843D3">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为甲方提交货物质检报告；负责包装符合国家相关标准的运输、贮存、保险、安装等。</w:t>
      </w:r>
    </w:p>
    <w:p w14:paraId="6C651DFA">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第五条  交货条件</w:t>
      </w:r>
    </w:p>
    <w:p w14:paraId="47F2D537">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hint="eastAsia" w:eastAsia="仿宋_GB2312"/>
          <w:kern w:val="0"/>
          <w:sz w:val="24"/>
          <w:highlight w:val="none"/>
          <w:lang w:eastAsia="zh-CN"/>
        </w:rPr>
        <w:t>（</w:t>
      </w:r>
      <w:r>
        <w:rPr>
          <w:rFonts w:hint="eastAsia" w:eastAsia="仿宋_GB2312"/>
          <w:kern w:val="0"/>
          <w:sz w:val="24"/>
          <w:highlight w:val="none"/>
          <w:lang w:val="en-US" w:eastAsia="zh-CN"/>
        </w:rPr>
        <w:t>一）</w:t>
      </w:r>
      <w:r>
        <w:rPr>
          <w:rFonts w:eastAsia="仿宋_GB2312"/>
          <w:kern w:val="0"/>
          <w:sz w:val="24"/>
          <w:highlight w:val="none"/>
        </w:rPr>
        <w:t>交货地点：招标人指定地点</w:t>
      </w:r>
    </w:p>
    <w:p w14:paraId="0C6EA0F0">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乙方应随同货物提供相应的中文技术文件（包括合格证明、货物清单、使用说明等），现场搬运至甲方指定位置。</w:t>
      </w:r>
    </w:p>
    <w:p w14:paraId="6718E5F9">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（二）供货期限：合同签订后</w:t>
      </w:r>
      <w:r>
        <w:rPr>
          <w:rFonts w:hint="eastAsia" w:eastAsia="仿宋_GB2312"/>
          <w:kern w:val="0"/>
          <w:sz w:val="24"/>
          <w:highlight w:val="none"/>
          <w:lang w:val="en-US" w:eastAsia="zh-CN"/>
        </w:rPr>
        <w:t>1</w:t>
      </w:r>
      <w:r>
        <w:rPr>
          <w:rFonts w:eastAsia="仿宋_GB2312"/>
          <w:kern w:val="0"/>
          <w:sz w:val="24"/>
          <w:highlight w:val="none"/>
        </w:rPr>
        <w:t>年。</w:t>
      </w:r>
    </w:p>
    <w:p w14:paraId="603A03B2">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（三）交货期：急需货物4小时内送达，一般货物3个日历天内送达。</w:t>
      </w:r>
    </w:p>
    <w:p w14:paraId="3A6C53D8">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第六条  运输</w:t>
      </w:r>
    </w:p>
    <w:p w14:paraId="53DC6482">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（一）运输由乙方负责，运杂费包含在货物协议单价内，包括但不限于货物运输所含的运输费、装卸费、仓储费、保险费等。</w:t>
      </w:r>
    </w:p>
    <w:p w14:paraId="102272B6">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（二）乙方保证货物安全、按期运送到达甲方指定交货地点，在交付甲方前发生的不可预见的风险均由乙方承担。</w:t>
      </w:r>
    </w:p>
    <w:p w14:paraId="7915FF16">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第七条  乙方质量保证</w:t>
      </w:r>
    </w:p>
    <w:p w14:paraId="64F7D50A">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hint="default" w:eastAsia="仿宋_GB2312"/>
          <w:kern w:val="0"/>
          <w:sz w:val="24"/>
          <w:highlight w:val="none"/>
          <w:lang w:val="en-US" w:eastAsia="zh-CN"/>
        </w:rPr>
      </w:pPr>
      <w:r>
        <w:rPr>
          <w:rFonts w:eastAsia="仿宋_GB2312"/>
          <w:kern w:val="0"/>
          <w:sz w:val="24"/>
          <w:highlight w:val="none"/>
        </w:rPr>
        <w:t>（一）乙方所供货物保证技术指标符合要求、质量性能可靠、进货渠道正常，全面满足招标文件要求。</w:t>
      </w:r>
      <w:r>
        <w:rPr>
          <w:rFonts w:hint="eastAsia" w:eastAsia="仿宋_GB2312"/>
          <w:kern w:val="0"/>
          <w:sz w:val="24"/>
          <w:highlight w:val="none"/>
          <w:lang w:val="en-US" w:eastAsia="zh-CN"/>
        </w:rPr>
        <w:t>货物质保期按生产有效期计算。</w:t>
      </w:r>
    </w:p>
    <w:p w14:paraId="10112F63">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（二）乙方所供货物如出现质量问题，可以选择换货。</w:t>
      </w:r>
    </w:p>
    <w:p w14:paraId="2FCD495E">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第八条  乙方免费提供服务</w:t>
      </w:r>
    </w:p>
    <w:p w14:paraId="67BE2036">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hint="eastAsia" w:eastAsia="仿宋_GB2312"/>
          <w:kern w:val="0"/>
          <w:sz w:val="24"/>
          <w:highlight w:val="none"/>
          <w:lang w:eastAsia="zh-CN"/>
        </w:rPr>
        <w:t>（</w:t>
      </w:r>
      <w:r>
        <w:rPr>
          <w:rFonts w:hint="eastAsia" w:eastAsia="仿宋_GB2312"/>
          <w:kern w:val="0"/>
          <w:sz w:val="24"/>
          <w:highlight w:val="none"/>
          <w:lang w:val="en-US" w:eastAsia="zh-CN"/>
        </w:rPr>
        <w:t>一）</w:t>
      </w:r>
      <w:r>
        <w:rPr>
          <w:rFonts w:eastAsia="仿宋_GB2312"/>
          <w:kern w:val="0"/>
          <w:sz w:val="24"/>
          <w:highlight w:val="none"/>
        </w:rPr>
        <w:t>乙方交货时需同时交付的技术资料</w:t>
      </w:r>
    </w:p>
    <w:p w14:paraId="7E05A2F9">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1、货物合格证明；</w:t>
      </w:r>
    </w:p>
    <w:p w14:paraId="48BC1421">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2、货物使用说明书（中文）；</w:t>
      </w:r>
    </w:p>
    <w:p w14:paraId="2BB2CACB">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3、冷链运输记录；</w:t>
      </w:r>
    </w:p>
    <w:p w14:paraId="65D8FCF4">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4、其他资料。</w:t>
      </w:r>
    </w:p>
    <w:p w14:paraId="5E0C2F1C">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（二）服务承诺</w:t>
      </w:r>
    </w:p>
    <w:p w14:paraId="3BB82E80">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1、在接到甲方的服务或咨询请求后乙方技术或有关人员须在</w:t>
      </w:r>
      <w:r>
        <w:rPr>
          <w:rFonts w:hint="eastAsia" w:eastAsia="仿宋_GB2312"/>
          <w:kern w:val="0"/>
          <w:sz w:val="24"/>
          <w:highlight w:val="none"/>
          <w:lang w:val="en-US" w:eastAsia="zh-CN"/>
        </w:rPr>
        <w:t>四</w:t>
      </w:r>
      <w:r>
        <w:rPr>
          <w:rFonts w:eastAsia="仿宋_GB2312"/>
          <w:kern w:val="0"/>
          <w:sz w:val="24"/>
          <w:highlight w:val="none"/>
        </w:rPr>
        <w:t>小时之内到达甲方相关科室。乙方接到甲方通知后，未在约定时间答复或者进行处理的，甲方可自行组织解决，因此产生的费用由乙方承担。</w:t>
      </w:r>
    </w:p>
    <w:p w14:paraId="14E6076E">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2、乙方在装卸货物、调试、维修服务过程发生的乙方工作人员、雇员人身损害及造成的安全事故，均由乙方承担，与甲方无关。</w:t>
      </w:r>
    </w:p>
    <w:p w14:paraId="20861D76">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（三）技术服务</w:t>
      </w:r>
    </w:p>
    <w:p w14:paraId="6C45D2CF">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hint="eastAsia" w:eastAsia="仿宋_GB2312"/>
          <w:kern w:val="0"/>
          <w:sz w:val="24"/>
          <w:highlight w:val="none"/>
        </w:rPr>
      </w:pPr>
      <w:r>
        <w:rPr>
          <w:rFonts w:hint="eastAsia" w:eastAsia="仿宋_GB2312"/>
          <w:kern w:val="0"/>
          <w:sz w:val="24"/>
          <w:highlight w:val="none"/>
        </w:rPr>
        <w:t>1、对技术服务的要求：</w:t>
      </w:r>
    </w:p>
    <w:p w14:paraId="44F9A078">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hint="eastAsia" w:eastAsia="仿宋_GB2312"/>
          <w:kern w:val="0"/>
          <w:sz w:val="24"/>
          <w:highlight w:val="none"/>
        </w:rPr>
      </w:pPr>
      <w:r>
        <w:rPr>
          <w:rFonts w:hint="eastAsia" w:eastAsia="仿宋_GB2312"/>
          <w:kern w:val="0"/>
          <w:sz w:val="24"/>
          <w:highlight w:val="none"/>
        </w:rPr>
        <w:t>2、技术资料：</w:t>
      </w:r>
    </w:p>
    <w:p w14:paraId="22550077">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hint="eastAsia" w:eastAsia="仿宋_GB2312"/>
          <w:kern w:val="0"/>
          <w:sz w:val="24"/>
          <w:highlight w:val="none"/>
        </w:rPr>
      </w:pPr>
      <w:r>
        <w:rPr>
          <w:rFonts w:hint="eastAsia" w:eastAsia="仿宋_GB2312"/>
          <w:kern w:val="0"/>
          <w:sz w:val="24"/>
          <w:highlight w:val="none"/>
        </w:rPr>
        <w:t>3、技术培训：</w:t>
      </w:r>
    </w:p>
    <w:p w14:paraId="10E03C81">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hint="eastAsia" w:eastAsia="仿宋_GB2312"/>
          <w:kern w:val="0"/>
          <w:sz w:val="24"/>
          <w:highlight w:val="none"/>
        </w:rPr>
      </w:pPr>
      <w:r>
        <w:rPr>
          <w:rFonts w:hint="eastAsia" w:eastAsia="仿宋_GB2312"/>
          <w:kern w:val="0"/>
          <w:sz w:val="24"/>
          <w:highlight w:val="none"/>
        </w:rPr>
        <w:t>3-1、培训内容：</w:t>
      </w:r>
    </w:p>
    <w:p w14:paraId="26F846B0">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hint="eastAsia" w:eastAsia="仿宋_GB2312"/>
          <w:kern w:val="0"/>
          <w:sz w:val="24"/>
          <w:highlight w:val="none"/>
        </w:rPr>
      </w:pPr>
      <w:r>
        <w:rPr>
          <w:rFonts w:hint="eastAsia" w:eastAsia="仿宋_GB2312"/>
          <w:kern w:val="0"/>
          <w:sz w:val="24"/>
          <w:highlight w:val="none"/>
        </w:rPr>
        <w:t>3-2、培训地点：</w:t>
      </w:r>
    </w:p>
    <w:p w14:paraId="6370BFD5">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hint="eastAsia" w:eastAsia="仿宋_GB2312"/>
          <w:kern w:val="0"/>
          <w:sz w:val="24"/>
          <w:highlight w:val="none"/>
        </w:rPr>
      </w:pPr>
      <w:r>
        <w:rPr>
          <w:rFonts w:hint="eastAsia" w:eastAsia="仿宋_GB2312"/>
          <w:kern w:val="0"/>
          <w:sz w:val="24"/>
          <w:highlight w:val="none"/>
        </w:rPr>
        <w:t>3-3、培训时间：</w:t>
      </w:r>
    </w:p>
    <w:p w14:paraId="4BD5D11C">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hint="eastAsia" w:eastAsia="仿宋_GB2312"/>
          <w:kern w:val="0"/>
          <w:sz w:val="24"/>
          <w:highlight w:val="none"/>
        </w:rPr>
      </w:pPr>
      <w:r>
        <w:rPr>
          <w:rFonts w:hint="eastAsia" w:eastAsia="仿宋_GB2312"/>
          <w:kern w:val="0"/>
          <w:sz w:val="24"/>
          <w:highlight w:val="none"/>
        </w:rPr>
        <w:t>3-4、培训人数：</w:t>
      </w:r>
    </w:p>
    <w:p w14:paraId="7F8C2B23">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hint="eastAsia" w:eastAsia="仿宋_GB2312"/>
          <w:kern w:val="0"/>
          <w:sz w:val="24"/>
          <w:highlight w:val="none"/>
        </w:rPr>
        <w:t>3-5、培训费用：受训人员的食宿费、资料费、培训场地费、耗材（包括水电费等）费等已包含在合同总价中，甲方不再另行支付</w:t>
      </w:r>
    </w:p>
    <w:p w14:paraId="45E7B719">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第九条  验收</w:t>
      </w:r>
    </w:p>
    <w:p w14:paraId="2B5CCDC6">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1、验收：甲方应在产品到货且接到乙方书面随货同行单后当日内验收；甲方耗材试剂部与使用科室及乙方共同验收。对货物进行数量、质量、送达温度等验收，验收合格者，甲方验收人在随货同行单上签字确认。</w:t>
      </w:r>
    </w:p>
    <w:p w14:paraId="62B56843">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hint="eastAsia" w:eastAsia="仿宋_GB2312"/>
          <w:kern w:val="0"/>
          <w:sz w:val="24"/>
          <w:highlight w:val="none"/>
        </w:rPr>
        <w:t>2</w:t>
      </w:r>
      <w:r>
        <w:rPr>
          <w:rFonts w:eastAsia="仿宋_GB2312"/>
          <w:kern w:val="0"/>
          <w:sz w:val="24"/>
          <w:highlight w:val="none"/>
        </w:rPr>
        <w:t>、最终验收：最终验收结果作为付款依据，乙方填写验收单，并向甲方提交实施过程中的所有资料，以便甲方日后管理和维护。</w:t>
      </w:r>
    </w:p>
    <w:p w14:paraId="404FBD51">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hint="eastAsia" w:eastAsia="仿宋_GB2312"/>
          <w:kern w:val="0"/>
          <w:sz w:val="24"/>
          <w:highlight w:val="none"/>
        </w:rPr>
        <w:t>3</w:t>
      </w:r>
      <w:r>
        <w:rPr>
          <w:rFonts w:eastAsia="仿宋_GB2312"/>
          <w:kern w:val="0"/>
          <w:sz w:val="24"/>
          <w:highlight w:val="none"/>
        </w:rPr>
        <w:t>、质保期满后：由乙方出具质保期运行质量报告，若存在质量问题，应按相应规定协商处理。</w:t>
      </w:r>
    </w:p>
    <w:p w14:paraId="6B44704E">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hint="eastAsia" w:eastAsia="仿宋_GB2312"/>
          <w:kern w:val="0"/>
          <w:sz w:val="24"/>
          <w:highlight w:val="none"/>
        </w:rPr>
        <w:t>4</w:t>
      </w:r>
      <w:r>
        <w:rPr>
          <w:rFonts w:eastAsia="仿宋_GB2312"/>
          <w:kern w:val="0"/>
          <w:sz w:val="24"/>
          <w:highlight w:val="none"/>
        </w:rPr>
        <w:t>、验收依据：</w:t>
      </w:r>
    </w:p>
    <w:p w14:paraId="25FAD0FF">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hint="eastAsia" w:eastAsia="仿宋_GB2312"/>
          <w:kern w:val="0"/>
          <w:sz w:val="24"/>
          <w:highlight w:val="none"/>
        </w:rPr>
        <w:t>4</w:t>
      </w:r>
      <w:r>
        <w:rPr>
          <w:rFonts w:eastAsia="仿宋_GB2312"/>
          <w:kern w:val="0"/>
          <w:sz w:val="24"/>
          <w:highlight w:val="none"/>
        </w:rPr>
        <w:t>-1、合同文本、合同附件、招标文件、投标文件。</w:t>
      </w:r>
    </w:p>
    <w:p w14:paraId="0D2FBF8D">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hint="eastAsia" w:eastAsia="仿宋_GB2312"/>
          <w:kern w:val="0"/>
          <w:sz w:val="24"/>
          <w:highlight w:val="none"/>
        </w:rPr>
        <w:t>4</w:t>
      </w:r>
      <w:r>
        <w:rPr>
          <w:rFonts w:eastAsia="仿宋_GB2312"/>
          <w:kern w:val="0"/>
          <w:sz w:val="24"/>
          <w:highlight w:val="none"/>
        </w:rPr>
        <w:t>-2、国内相应的标准、规范。</w:t>
      </w:r>
    </w:p>
    <w:p w14:paraId="36DC31B0">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第十条  违约责任</w:t>
      </w:r>
    </w:p>
    <w:p w14:paraId="4EE60451">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（一）按《民法典》中的相关条款执行。</w:t>
      </w:r>
    </w:p>
    <w:p w14:paraId="709954E4">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（二）甲方责任</w:t>
      </w:r>
    </w:p>
    <w:p w14:paraId="14816AC0">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除乙方产品不符合本协议约定的规格、质量、技术要求外，甲方不得中途退货或者拒绝提货。</w:t>
      </w:r>
    </w:p>
    <w:p w14:paraId="65AD1DF4">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（三）乙方责任</w:t>
      </w:r>
    </w:p>
    <w:p w14:paraId="69EC56B1">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1、按《中华人民共和国民法典》中的相关条款执行。</w:t>
      </w:r>
    </w:p>
    <w:p w14:paraId="3F84EF98">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2、乙方履约延误</w:t>
      </w:r>
    </w:p>
    <w:p w14:paraId="2F7C895A">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2-1、如乙方事先未征得甲方同意并得到甲方的谅解而单方面延迟执行合同，将按违约终止合同。</w:t>
      </w:r>
    </w:p>
    <w:p w14:paraId="4EBB2127">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7A65FFA9">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3、违约终止合同：未按合同要求提供服务或不能满足技术要求，甲方会同监督机构有权终止合同，对乙方违约行为进行追究，同时按政府采购法的有关规定进行相应的处罚。</w:t>
      </w:r>
    </w:p>
    <w:p w14:paraId="41899AFA">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3、遇乙方货物政策性价格调整，乙方须如实及时通知甲方，双方可重新协商货物供应价格。</w:t>
      </w:r>
    </w:p>
    <w:p w14:paraId="45E61A82">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4、在甲方重新组织招标前，乙方在未征得甲方同意前，不得终止货物供应。</w:t>
      </w:r>
    </w:p>
    <w:p w14:paraId="4B03C786">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5、本协议若与甲方的上级管理机关的政策性行为或其他规定发生冲突，甲方有权与乙方协商调整协议内容或终止协议执行。</w:t>
      </w:r>
    </w:p>
    <w:p w14:paraId="741FAFC7">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6、乙方供应甲方的货物应符合国家“两票制”政策。</w:t>
      </w:r>
    </w:p>
    <w:p w14:paraId="7F98C8EF">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hint="eastAsia" w:eastAsia="仿宋_GB2312"/>
          <w:kern w:val="0"/>
          <w:sz w:val="24"/>
          <w:highlight w:val="none"/>
          <w:lang w:val="en-US" w:eastAsia="zh-CN"/>
        </w:rPr>
        <w:t>7</w:t>
      </w:r>
      <w:r>
        <w:rPr>
          <w:rFonts w:eastAsia="仿宋_GB2312"/>
          <w:kern w:val="0"/>
          <w:sz w:val="24"/>
          <w:highlight w:val="none"/>
        </w:rPr>
        <w:t>、乙方对甲方解除协议不予认可，应在收到甲方书面解除通知之日起2日内依法提出异议。</w:t>
      </w:r>
    </w:p>
    <w:p w14:paraId="4FB8F410">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hint="eastAsia" w:eastAsia="仿宋_GB2312"/>
          <w:kern w:val="0"/>
          <w:sz w:val="24"/>
          <w:highlight w:val="none"/>
          <w:lang w:val="en-US" w:eastAsia="zh-CN"/>
        </w:rPr>
        <w:t>8</w:t>
      </w:r>
      <w:r>
        <w:rPr>
          <w:rFonts w:eastAsia="仿宋_GB2312"/>
          <w:kern w:val="0"/>
          <w:sz w:val="24"/>
          <w:highlight w:val="none"/>
        </w:rPr>
        <w:t>、乙方供应的产品经过两次验收，达不到合格的，甲方有权解除本协议，且乙方应当一次性支付甲方货物价值的10%的违约金。</w:t>
      </w:r>
    </w:p>
    <w:p w14:paraId="716D2B20">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第十一条  不可抗力</w:t>
      </w:r>
    </w:p>
    <w:p w14:paraId="38FB71F4">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（一）本协议不可抗力指地震、台风、火灾、战争、罢工以及其他双方不能预见、不能避免并不能克服的客观情况。</w:t>
      </w:r>
    </w:p>
    <w:p w14:paraId="30CFCA5F">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（二）由于不可抗力致使协议无法正常履行的，受不可抗力影响一方应立即将不能履行本协议的事实书面通知对方，乙方负责按照甲方要求应急解决。</w:t>
      </w:r>
    </w:p>
    <w:p w14:paraId="01F9E937">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（三）本协议在不可抗力影响范围及其持续期间内将中止履行，双方无需承担违约责任。</w:t>
      </w:r>
    </w:p>
    <w:p w14:paraId="7EE1A8BA">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（四）一方迟延履行后发生不可抗力的，不能免除责任。</w:t>
      </w:r>
    </w:p>
    <w:p w14:paraId="768138B7">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第十</w:t>
      </w:r>
      <w:r>
        <w:rPr>
          <w:rFonts w:hint="eastAsia" w:eastAsia="仿宋_GB2312"/>
          <w:kern w:val="0"/>
          <w:sz w:val="24"/>
          <w:highlight w:val="none"/>
          <w:lang w:val="en-US" w:eastAsia="zh-CN"/>
        </w:rPr>
        <w:t>二</w:t>
      </w:r>
      <w:r>
        <w:rPr>
          <w:rFonts w:eastAsia="仿宋_GB2312"/>
          <w:kern w:val="0"/>
          <w:sz w:val="24"/>
          <w:highlight w:val="none"/>
        </w:rPr>
        <w:t>条  协议争议解决的方式</w:t>
      </w:r>
    </w:p>
    <w:p w14:paraId="23DA4DA4">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本协议在履行过程中发生的争议，由甲、乙双方当事人协商解决；协商不成的，任意一方应向甲方所在地人民法院起诉。</w:t>
      </w:r>
    </w:p>
    <w:p w14:paraId="09C3E37D">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第十</w:t>
      </w:r>
      <w:r>
        <w:rPr>
          <w:rFonts w:hint="eastAsia" w:eastAsia="仿宋_GB2312"/>
          <w:kern w:val="0"/>
          <w:sz w:val="24"/>
          <w:highlight w:val="none"/>
          <w:lang w:val="en-US" w:eastAsia="zh-CN"/>
        </w:rPr>
        <w:t>三</w:t>
      </w:r>
      <w:r>
        <w:rPr>
          <w:rFonts w:eastAsia="仿宋_GB2312"/>
          <w:kern w:val="0"/>
          <w:sz w:val="24"/>
          <w:highlight w:val="none"/>
        </w:rPr>
        <w:t>条  其他事项</w:t>
      </w:r>
    </w:p>
    <w:p w14:paraId="411BA058">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（一）本协议经双方法定代表人或者委托代理人签字并盖公章之日起生效。</w:t>
      </w:r>
    </w:p>
    <w:p w14:paraId="53550112">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highlight w:val="none"/>
        </w:rPr>
      </w:pPr>
      <w:r>
        <w:rPr>
          <w:rFonts w:eastAsia="仿宋_GB2312"/>
          <w:kern w:val="0"/>
          <w:sz w:val="24"/>
          <w:highlight w:val="none"/>
        </w:rPr>
        <w:t>（二）招标文件、投标文件、澄清表（函）、协议附件均为协议不可分割的部分。</w:t>
      </w:r>
    </w:p>
    <w:p w14:paraId="5999FBF7">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hint="eastAsia" w:eastAsia="仿宋_GB2312"/>
          <w:kern w:val="0"/>
          <w:sz w:val="24"/>
          <w:highlight w:val="none"/>
          <w:lang w:eastAsia="zh-CN"/>
        </w:rPr>
      </w:pPr>
      <w:r>
        <w:rPr>
          <w:rFonts w:eastAsia="仿宋_GB2312"/>
          <w:kern w:val="0"/>
          <w:sz w:val="24"/>
          <w:highlight w:val="none"/>
        </w:rPr>
        <w:t>（三）</w:t>
      </w:r>
      <w:r>
        <w:rPr>
          <w:rFonts w:hint="eastAsia" w:eastAsia="仿宋_GB2312"/>
          <w:kern w:val="0"/>
          <w:sz w:val="24"/>
          <w:highlight w:val="none"/>
        </w:rPr>
        <w:t>合同期间若有国家或省际联盟带量集采，按照政策要求执行。如合同期间集采落地，乙方未入选未配送企业的，甲方有权解将该部分内容交由入选配送企业供应</w:t>
      </w:r>
      <w:r>
        <w:rPr>
          <w:rFonts w:hint="eastAsia" w:eastAsia="仿宋_GB2312"/>
          <w:kern w:val="0"/>
          <w:sz w:val="24"/>
          <w:highlight w:val="none"/>
          <w:lang w:eastAsia="zh-CN"/>
        </w:rPr>
        <w:t>。</w:t>
      </w:r>
    </w:p>
    <w:p w14:paraId="5C420FF2">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hint="eastAsia" w:eastAsia="仿宋_GB2312"/>
          <w:kern w:val="0"/>
          <w:sz w:val="24"/>
          <w:highlight w:val="none"/>
          <w:lang w:eastAsia="zh-CN"/>
        </w:rPr>
      </w:pPr>
      <w:r>
        <w:rPr>
          <w:rFonts w:eastAsia="仿宋_GB2312"/>
          <w:kern w:val="0"/>
          <w:sz w:val="24"/>
          <w:highlight w:val="none"/>
        </w:rPr>
        <w:t>（四）</w:t>
      </w:r>
      <w:r>
        <w:rPr>
          <w:rFonts w:hint="eastAsia" w:eastAsia="仿宋_GB2312"/>
          <w:kern w:val="0"/>
          <w:sz w:val="24"/>
          <w:highlight w:val="none"/>
          <w:lang w:val="en-US" w:eastAsia="zh-CN"/>
        </w:rPr>
        <w:t>1、</w:t>
      </w:r>
      <w:r>
        <w:rPr>
          <w:rFonts w:hint="eastAsia" w:eastAsia="仿宋_GB2312"/>
          <w:kern w:val="0"/>
          <w:sz w:val="24"/>
          <w:highlight w:val="none"/>
          <w:lang w:eastAsia="zh-CN"/>
        </w:rPr>
        <w:t>在合同供货范围内属于（新增、新纳入）陕西医保公共平台挂网产品执行网采流程；</w:t>
      </w:r>
      <w:r>
        <w:rPr>
          <w:rFonts w:hint="eastAsia" w:eastAsia="仿宋_GB2312"/>
          <w:kern w:val="0"/>
          <w:sz w:val="24"/>
          <w:highlight w:val="none"/>
          <w:lang w:val="en-US" w:eastAsia="zh-CN"/>
        </w:rPr>
        <w:t>2、</w:t>
      </w:r>
      <w:r>
        <w:rPr>
          <w:rFonts w:hint="eastAsia" w:eastAsia="仿宋_GB2312"/>
          <w:kern w:val="0"/>
          <w:sz w:val="24"/>
          <w:highlight w:val="none"/>
          <w:lang w:eastAsia="zh-CN"/>
        </w:rPr>
        <w:t>合同期间若对账过程中发现有陕西医保公共服务平台挂网价低于合同价的品种，按就低不就高原则执行陕西医保公共服务平台挂网价格。</w:t>
      </w:r>
    </w:p>
    <w:p w14:paraId="1B347CCF">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rPr>
      </w:pPr>
      <w:r>
        <w:rPr>
          <w:rFonts w:eastAsia="仿宋_GB2312"/>
          <w:kern w:val="0"/>
          <w:sz w:val="24"/>
          <w:highlight w:val="none"/>
        </w:rPr>
        <w:t>（五）对本协议条款的任何变更、修改或增减，须经双方协商同意后签署补充协议，该补充协议作为本协议的组成部分并具有同等</w:t>
      </w:r>
      <w:bookmarkEnd w:id="3"/>
      <w:r>
        <w:rPr>
          <w:rFonts w:eastAsia="仿宋_GB2312"/>
          <w:kern w:val="0"/>
          <w:sz w:val="24"/>
        </w:rPr>
        <w:t>效力。</w:t>
      </w:r>
    </w:p>
    <w:p w14:paraId="29D2579E">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rPr>
      </w:pPr>
      <w:r>
        <w:rPr>
          <w:rFonts w:eastAsia="仿宋_GB2312"/>
          <w:kern w:val="0"/>
          <w:sz w:val="24"/>
        </w:rPr>
        <w:t>（六）本协议未尽事宜双方另行协商，因执行本协议所发生的和本协议有关的一切争议，双方应友好协商解决。经协商未达成一致，任何一方可向甲方所在地有管辖权的人民法院提起诉讼。</w:t>
      </w:r>
    </w:p>
    <w:p w14:paraId="7412B0C8">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rPr>
      </w:pPr>
      <w:r>
        <w:rPr>
          <w:rFonts w:hint="eastAsia" w:eastAsia="仿宋_GB2312"/>
          <w:kern w:val="0"/>
          <w:sz w:val="24"/>
          <w:lang w:eastAsia="zh-CN"/>
        </w:rPr>
        <w:t>（</w:t>
      </w:r>
      <w:r>
        <w:rPr>
          <w:rFonts w:hint="eastAsia" w:eastAsia="仿宋_GB2312"/>
          <w:kern w:val="0"/>
          <w:sz w:val="24"/>
          <w:lang w:val="en-US" w:eastAsia="zh-CN"/>
        </w:rPr>
        <w:t>七）</w:t>
      </w:r>
      <w:r>
        <w:rPr>
          <w:rFonts w:eastAsia="仿宋_GB2312"/>
          <w:kern w:val="0"/>
          <w:sz w:val="24"/>
        </w:rPr>
        <w:t>反不正当竞争条约。卖方不得以任何形式违反国家关于医药购销领域不正当竞争的有关规定。对可能涉嫌不正当竞争的供应商，一经查证，坚决取消供应资格，三年内不许参与医院的供销活动，并按上级的有关规定执行处罚。</w:t>
      </w:r>
    </w:p>
    <w:p w14:paraId="1243B7EE">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rPr>
      </w:pPr>
      <w:r>
        <w:rPr>
          <w:rFonts w:hint="eastAsia" w:eastAsia="仿宋_GB2312"/>
          <w:kern w:val="0"/>
          <w:sz w:val="24"/>
          <w:lang w:eastAsia="zh-CN"/>
        </w:rPr>
        <w:t>（</w:t>
      </w:r>
      <w:r>
        <w:rPr>
          <w:rFonts w:hint="eastAsia" w:eastAsia="仿宋_GB2312"/>
          <w:kern w:val="0"/>
          <w:sz w:val="24"/>
          <w:lang w:val="en-US" w:eastAsia="zh-CN"/>
        </w:rPr>
        <w:t>八）</w:t>
      </w:r>
      <w:r>
        <w:rPr>
          <w:rFonts w:eastAsia="仿宋_GB2312"/>
          <w:kern w:val="0"/>
          <w:sz w:val="24"/>
        </w:rPr>
        <w:t>本协议一式七份。甲方执五份，乙方执二份。自甲乙双方法定代表人或者委托代理人签字并加盖公章后生效，协议执行完毕自动失效。（协议的服务承诺仍然有效）。传真件具有同等法律效力。</w:t>
      </w:r>
    </w:p>
    <w:p w14:paraId="4EBF53DF">
      <w:pPr>
        <w:keepNext w:val="0"/>
        <w:keepLines w:val="0"/>
        <w:pageBreakBefore w:val="0"/>
        <w:widowControl/>
        <w:tabs>
          <w:tab w:val="left" w:pos="8391"/>
        </w:tabs>
        <w:kinsoku/>
        <w:wordWrap/>
        <w:overflowPunct/>
        <w:topLinePunct w:val="0"/>
        <w:autoSpaceDE w:val="0"/>
        <w:autoSpaceDN w:val="0"/>
        <w:bidi w:val="0"/>
        <w:adjustRightInd/>
        <w:snapToGrid w:val="0"/>
        <w:spacing w:line="440" w:lineRule="exact"/>
        <w:ind w:right="-68" w:firstLine="480" w:firstLineChars="200"/>
        <w:textAlignment w:val="bottom"/>
        <w:rPr>
          <w:rFonts w:eastAsia="仿宋_GB2312"/>
          <w:kern w:val="0"/>
          <w:sz w:val="24"/>
        </w:rPr>
      </w:pPr>
      <w:r>
        <w:rPr>
          <w:rFonts w:eastAsia="仿宋_GB2312"/>
          <w:kern w:val="0"/>
          <w:sz w:val="24"/>
        </w:rPr>
        <w:t>（</w:t>
      </w:r>
      <w:r>
        <w:rPr>
          <w:rFonts w:hint="eastAsia" w:eastAsia="仿宋_GB2312"/>
          <w:kern w:val="0"/>
          <w:sz w:val="24"/>
          <w:lang w:val="en-US" w:eastAsia="zh-CN"/>
        </w:rPr>
        <w:t>九</w:t>
      </w:r>
      <w:r>
        <w:rPr>
          <w:rFonts w:eastAsia="仿宋_GB2312"/>
          <w:kern w:val="0"/>
          <w:sz w:val="24"/>
        </w:rPr>
        <w:t>）本协议约定的地址为双方有效送达地址，任意一方发生变更的，应当在变更之日起2日内向另一方通知，未通知另一方的，另一方按照约定地址发出的信件自发出之日起7日内视为有效送达</w:t>
      </w:r>
      <w:r>
        <w:rPr>
          <w:rFonts w:hint="eastAsia" w:eastAsia="仿宋_GB2312"/>
          <w:kern w:val="0"/>
          <w:sz w:val="24"/>
          <w:lang w:eastAsia="zh-CN"/>
        </w:rPr>
        <w:t>。</w:t>
      </w:r>
    </w:p>
    <w:p w14:paraId="443E3D92">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5"/>
        <w:tblW w:w="0" w:type="auto"/>
        <w:jc w:val="center"/>
        <w:tblLayout w:type="fixed"/>
        <w:tblCellMar>
          <w:top w:w="0" w:type="dxa"/>
          <w:left w:w="108" w:type="dxa"/>
          <w:bottom w:w="0" w:type="dxa"/>
          <w:right w:w="108" w:type="dxa"/>
        </w:tblCellMar>
      </w:tblPr>
      <w:tblGrid>
        <w:gridCol w:w="4643"/>
        <w:gridCol w:w="4643"/>
      </w:tblGrid>
      <w:tr w14:paraId="1CA8E271">
        <w:tblPrEx>
          <w:tblCellMar>
            <w:top w:w="0" w:type="dxa"/>
            <w:left w:w="108" w:type="dxa"/>
            <w:bottom w:w="0" w:type="dxa"/>
            <w:right w:w="108" w:type="dxa"/>
          </w:tblCellMar>
        </w:tblPrEx>
        <w:trPr>
          <w:jc w:val="center"/>
        </w:trPr>
        <w:tc>
          <w:tcPr>
            <w:tcW w:w="4643" w:type="dxa"/>
            <w:noWrap w:val="0"/>
            <w:vAlign w:val="top"/>
          </w:tcPr>
          <w:p w14:paraId="158CAE50">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eastAsia="仿宋_GB2312"/>
                <w:kern w:val="0"/>
                <w:sz w:val="24"/>
              </w:rPr>
              <w:t>:</w:t>
            </w:r>
          </w:p>
          <w:p w14:paraId="1941E7C1">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045D7467">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159F669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35A6F01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5843862B">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noWrap w:val="0"/>
            <w:vAlign w:val="top"/>
          </w:tcPr>
          <w:p w14:paraId="5CA24E4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eastAsia="仿宋_GB2312"/>
                <w:kern w:val="0"/>
                <w:sz w:val="24"/>
              </w:rPr>
              <w:t>:</w:t>
            </w:r>
          </w:p>
          <w:p w14:paraId="357C3E0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2245700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5F9E59B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0DF806D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7490262D">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67C9F851">
      <w:pPr>
        <w:spacing w:line="360" w:lineRule="auto"/>
        <w:rPr>
          <w:rFonts w:eastAsia="仿宋_GB2312"/>
          <w:sz w:val="24"/>
        </w:rPr>
      </w:pPr>
      <w:r>
        <w:br w:type="page"/>
      </w:r>
      <w:r>
        <w:rPr>
          <w:rFonts w:eastAsia="仿宋_GB2312"/>
          <w:sz w:val="24"/>
        </w:rPr>
        <w:t>合同附件：</w:t>
      </w:r>
    </w:p>
    <w:tbl>
      <w:tblPr>
        <w:tblStyle w:val="5"/>
        <w:tblW w:w="5000" w:type="pct"/>
        <w:tblInd w:w="0" w:type="dxa"/>
        <w:tblLayout w:type="autofit"/>
        <w:tblCellMar>
          <w:top w:w="0" w:type="dxa"/>
          <w:left w:w="108" w:type="dxa"/>
          <w:bottom w:w="0" w:type="dxa"/>
          <w:right w:w="108" w:type="dxa"/>
        </w:tblCellMar>
      </w:tblPr>
      <w:tblGrid>
        <w:gridCol w:w="1571"/>
        <w:gridCol w:w="2299"/>
        <w:gridCol w:w="2524"/>
        <w:gridCol w:w="2128"/>
      </w:tblGrid>
      <w:tr w14:paraId="0BA1F11A">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54C9CD89">
            <w:pPr>
              <w:widowControl/>
              <w:jc w:val="center"/>
              <w:rPr>
                <w:b/>
                <w:bCs/>
                <w:kern w:val="0"/>
                <w:sz w:val="32"/>
                <w:szCs w:val="32"/>
              </w:rPr>
            </w:pPr>
            <w:r>
              <w:rPr>
                <w:rFonts w:eastAsia="方正小标宋简体"/>
                <w:kern w:val="0"/>
                <w:sz w:val="28"/>
                <w:szCs w:val="28"/>
              </w:rPr>
              <w:t>政府采购项目货物（服务）验收入库报告单</w:t>
            </w:r>
          </w:p>
        </w:tc>
      </w:tr>
      <w:tr w14:paraId="2B8E552B">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0EA3B491">
            <w:pPr>
              <w:widowControl/>
              <w:jc w:val="center"/>
              <w:rPr>
                <w:rFonts w:eastAsia="仿宋_GB2312"/>
                <w:kern w:val="0"/>
                <w:sz w:val="24"/>
              </w:rPr>
            </w:pPr>
            <w:r>
              <w:rPr>
                <w:rFonts w:eastAsia="仿宋_GB2312"/>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2204186D">
            <w:pPr>
              <w:widowControl/>
              <w:jc w:val="center"/>
              <w:rPr>
                <w:rFonts w:eastAsia="仿宋_GB2312"/>
                <w:kern w:val="0"/>
                <w:sz w:val="24"/>
              </w:rPr>
            </w:pPr>
            <w:r>
              <w:rPr>
                <w:rFonts w:eastAsia="仿宋_GB2312"/>
                <w:kern w:val="0"/>
                <w:sz w:val="24"/>
              </w:rPr>
              <w:t>　</w:t>
            </w:r>
          </w:p>
        </w:tc>
      </w:tr>
      <w:tr w14:paraId="450A4999">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4F500D1A">
            <w:pPr>
              <w:widowControl/>
              <w:jc w:val="center"/>
              <w:rPr>
                <w:rFonts w:eastAsia="仿宋_GB2312"/>
                <w:kern w:val="0"/>
                <w:sz w:val="24"/>
              </w:rPr>
            </w:pPr>
            <w:r>
              <w:rPr>
                <w:rFonts w:eastAsia="仿宋_GB2312"/>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5AA8D2AF">
            <w:pPr>
              <w:widowControl/>
              <w:jc w:val="center"/>
              <w:rPr>
                <w:rFonts w:eastAsia="仿宋_GB2312"/>
                <w:kern w:val="0"/>
                <w:sz w:val="24"/>
              </w:rPr>
            </w:pPr>
            <w:r>
              <w:rPr>
                <w:rFonts w:eastAsia="仿宋_GB2312"/>
                <w:kern w:val="0"/>
                <w:sz w:val="24"/>
              </w:rPr>
              <w:t>　</w:t>
            </w:r>
          </w:p>
        </w:tc>
      </w:tr>
      <w:tr w14:paraId="71DF64D9">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4ADACAAE">
            <w:pPr>
              <w:widowControl/>
              <w:jc w:val="center"/>
              <w:rPr>
                <w:rFonts w:eastAsia="仿宋_GB2312"/>
                <w:kern w:val="0"/>
                <w:sz w:val="24"/>
              </w:rPr>
            </w:pPr>
            <w:r>
              <w:rPr>
                <w:rFonts w:eastAsia="仿宋_GB2312"/>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5B34D570">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311E615F">
            <w:pPr>
              <w:widowControl/>
              <w:jc w:val="center"/>
              <w:rPr>
                <w:rFonts w:eastAsia="仿宋_GB2312"/>
                <w:kern w:val="0"/>
                <w:sz w:val="24"/>
              </w:rPr>
            </w:pPr>
            <w:r>
              <w:rPr>
                <w:rFonts w:eastAsia="仿宋_GB2312"/>
                <w:kern w:val="0"/>
                <w:sz w:val="24"/>
              </w:rPr>
              <w:t>合同金额</w:t>
            </w:r>
          </w:p>
        </w:tc>
        <w:tc>
          <w:tcPr>
            <w:tcW w:w="1248" w:type="pct"/>
            <w:tcBorders>
              <w:top w:val="nil"/>
              <w:left w:val="nil"/>
              <w:bottom w:val="single" w:color="auto" w:sz="4" w:space="0"/>
              <w:right w:val="single" w:color="auto" w:sz="8" w:space="0"/>
            </w:tcBorders>
            <w:noWrap/>
            <w:vAlign w:val="center"/>
          </w:tcPr>
          <w:p w14:paraId="27E2AF25">
            <w:pPr>
              <w:widowControl/>
              <w:jc w:val="left"/>
              <w:rPr>
                <w:rFonts w:eastAsia="仿宋_GB2312"/>
                <w:kern w:val="0"/>
                <w:sz w:val="24"/>
              </w:rPr>
            </w:pPr>
            <w:r>
              <w:rPr>
                <w:rFonts w:eastAsia="仿宋_GB2312"/>
                <w:kern w:val="0"/>
                <w:sz w:val="24"/>
              </w:rPr>
              <w:t>¥:</w:t>
            </w:r>
          </w:p>
        </w:tc>
      </w:tr>
      <w:tr w14:paraId="39C6C4BB">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23446B41">
            <w:pPr>
              <w:widowControl/>
              <w:jc w:val="left"/>
              <w:rPr>
                <w:rFonts w:eastAsia="仿宋_GB2312"/>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73155244">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37249D9F">
            <w:pPr>
              <w:widowControl/>
              <w:jc w:val="center"/>
              <w:rPr>
                <w:rFonts w:eastAsia="仿宋_GB2312"/>
                <w:kern w:val="0"/>
                <w:sz w:val="24"/>
              </w:rPr>
            </w:pPr>
            <w:r>
              <w:rPr>
                <w:rFonts w:eastAsia="仿宋_GB2312"/>
                <w:kern w:val="0"/>
                <w:sz w:val="24"/>
              </w:rPr>
              <w:t>验收时间/地点</w:t>
            </w:r>
          </w:p>
        </w:tc>
        <w:tc>
          <w:tcPr>
            <w:tcW w:w="1248" w:type="pct"/>
            <w:tcBorders>
              <w:top w:val="nil"/>
              <w:left w:val="nil"/>
              <w:bottom w:val="single" w:color="auto" w:sz="4" w:space="0"/>
              <w:right w:val="single" w:color="auto" w:sz="8" w:space="0"/>
            </w:tcBorders>
            <w:noWrap/>
            <w:vAlign w:val="center"/>
          </w:tcPr>
          <w:p w14:paraId="716950AD">
            <w:pPr>
              <w:widowControl/>
              <w:jc w:val="center"/>
              <w:rPr>
                <w:rFonts w:eastAsia="仿宋_GB2312"/>
                <w:kern w:val="0"/>
                <w:sz w:val="24"/>
              </w:rPr>
            </w:pPr>
            <w:r>
              <w:rPr>
                <w:rFonts w:eastAsia="仿宋_GB2312"/>
                <w:kern w:val="0"/>
                <w:sz w:val="24"/>
              </w:rPr>
              <w:t>　</w:t>
            </w:r>
          </w:p>
        </w:tc>
      </w:tr>
      <w:tr w14:paraId="06E268CB">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39108682">
            <w:pPr>
              <w:widowControl/>
              <w:jc w:val="center"/>
              <w:rPr>
                <w:rFonts w:eastAsia="仿宋_GB2312"/>
                <w:kern w:val="0"/>
                <w:sz w:val="24"/>
              </w:rPr>
            </w:pPr>
            <w:r>
              <w:rPr>
                <w:rFonts w:eastAsia="仿宋_GB2312"/>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3343BB20">
            <w:pPr>
              <w:widowControl/>
              <w:jc w:val="center"/>
              <w:rPr>
                <w:rFonts w:eastAsia="仿宋_GB2312"/>
                <w:kern w:val="0"/>
                <w:sz w:val="24"/>
              </w:rPr>
            </w:pPr>
            <w:r>
              <w:rPr>
                <w:rFonts w:eastAsia="仿宋_GB2312"/>
                <w:kern w:val="0"/>
                <w:sz w:val="24"/>
              </w:rPr>
              <w:t>　</w:t>
            </w:r>
          </w:p>
        </w:tc>
      </w:tr>
      <w:tr w14:paraId="6576CDA6">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6204454F">
            <w:pPr>
              <w:widowControl/>
              <w:jc w:val="center"/>
              <w:rPr>
                <w:rFonts w:eastAsia="仿宋_GB2312"/>
                <w:kern w:val="0"/>
                <w:sz w:val="24"/>
              </w:rPr>
            </w:pPr>
            <w:r>
              <w:rPr>
                <w:rFonts w:eastAsia="仿宋_GB2312"/>
                <w:kern w:val="0"/>
                <w:sz w:val="24"/>
              </w:rPr>
              <w:t>开户行</w:t>
            </w:r>
          </w:p>
        </w:tc>
        <w:tc>
          <w:tcPr>
            <w:tcW w:w="1349" w:type="pct"/>
            <w:tcBorders>
              <w:top w:val="nil"/>
              <w:left w:val="nil"/>
              <w:bottom w:val="single" w:color="auto" w:sz="4" w:space="0"/>
              <w:right w:val="single" w:color="auto" w:sz="4" w:space="0"/>
            </w:tcBorders>
            <w:noWrap/>
            <w:vAlign w:val="center"/>
          </w:tcPr>
          <w:p w14:paraId="4F5F1F74">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35E5B9F2">
            <w:pPr>
              <w:widowControl/>
              <w:jc w:val="center"/>
              <w:rPr>
                <w:rFonts w:eastAsia="仿宋_GB2312"/>
                <w:kern w:val="0"/>
                <w:sz w:val="24"/>
              </w:rPr>
            </w:pPr>
            <w:r>
              <w:rPr>
                <w:rFonts w:eastAsia="仿宋_GB2312"/>
                <w:kern w:val="0"/>
                <w:sz w:val="24"/>
              </w:rPr>
              <w:t>账号</w:t>
            </w:r>
          </w:p>
        </w:tc>
        <w:tc>
          <w:tcPr>
            <w:tcW w:w="1248" w:type="pct"/>
            <w:tcBorders>
              <w:top w:val="nil"/>
              <w:left w:val="nil"/>
              <w:bottom w:val="single" w:color="auto" w:sz="4" w:space="0"/>
              <w:right w:val="single" w:color="auto" w:sz="8" w:space="0"/>
            </w:tcBorders>
            <w:noWrap/>
            <w:vAlign w:val="center"/>
          </w:tcPr>
          <w:p w14:paraId="11977536">
            <w:pPr>
              <w:widowControl/>
              <w:jc w:val="center"/>
              <w:rPr>
                <w:rFonts w:eastAsia="仿宋_GB2312"/>
                <w:kern w:val="0"/>
                <w:sz w:val="24"/>
              </w:rPr>
            </w:pPr>
            <w:r>
              <w:rPr>
                <w:rFonts w:eastAsia="仿宋_GB2312"/>
                <w:kern w:val="0"/>
                <w:sz w:val="24"/>
              </w:rPr>
              <w:t>　</w:t>
            </w:r>
          </w:p>
        </w:tc>
      </w:tr>
      <w:tr w14:paraId="7C61BF80">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37D1E24D">
            <w:pPr>
              <w:widowControl/>
              <w:jc w:val="center"/>
              <w:rPr>
                <w:rFonts w:eastAsia="仿宋_GB2312"/>
                <w:kern w:val="0"/>
                <w:sz w:val="24"/>
              </w:rPr>
            </w:pPr>
            <w:r>
              <w:rPr>
                <w:rFonts w:eastAsia="仿宋_GB2312"/>
                <w:kern w:val="0"/>
                <w:sz w:val="24"/>
              </w:rPr>
              <w:t>联系人</w:t>
            </w:r>
          </w:p>
        </w:tc>
        <w:tc>
          <w:tcPr>
            <w:tcW w:w="1349" w:type="pct"/>
            <w:tcBorders>
              <w:top w:val="nil"/>
              <w:left w:val="nil"/>
              <w:bottom w:val="nil"/>
              <w:right w:val="single" w:color="auto" w:sz="4" w:space="0"/>
            </w:tcBorders>
            <w:noWrap/>
            <w:vAlign w:val="center"/>
          </w:tcPr>
          <w:p w14:paraId="140E8705">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765CF274">
            <w:pPr>
              <w:widowControl/>
              <w:jc w:val="center"/>
              <w:rPr>
                <w:rFonts w:eastAsia="仿宋_GB2312"/>
                <w:kern w:val="0"/>
                <w:sz w:val="24"/>
              </w:rPr>
            </w:pPr>
            <w:r>
              <w:rPr>
                <w:rFonts w:eastAsia="仿宋_GB2312"/>
                <w:kern w:val="0"/>
                <w:sz w:val="24"/>
              </w:rPr>
              <w:t>电话</w:t>
            </w:r>
          </w:p>
        </w:tc>
        <w:tc>
          <w:tcPr>
            <w:tcW w:w="1248" w:type="pct"/>
            <w:tcBorders>
              <w:top w:val="nil"/>
              <w:left w:val="nil"/>
              <w:bottom w:val="nil"/>
              <w:right w:val="single" w:color="auto" w:sz="8" w:space="0"/>
            </w:tcBorders>
            <w:noWrap/>
            <w:vAlign w:val="center"/>
          </w:tcPr>
          <w:p w14:paraId="68F146EE">
            <w:pPr>
              <w:widowControl/>
              <w:jc w:val="center"/>
              <w:rPr>
                <w:rFonts w:eastAsia="仿宋_GB2312"/>
                <w:kern w:val="0"/>
                <w:sz w:val="24"/>
              </w:rPr>
            </w:pPr>
            <w:r>
              <w:rPr>
                <w:rFonts w:eastAsia="仿宋_GB2312"/>
                <w:kern w:val="0"/>
                <w:sz w:val="24"/>
              </w:rPr>
              <w:t>　</w:t>
            </w:r>
          </w:p>
        </w:tc>
      </w:tr>
      <w:tr w14:paraId="0B18D8CE">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117BB1D6">
            <w:pPr>
              <w:widowControl/>
              <w:jc w:val="left"/>
              <w:rPr>
                <w:rFonts w:eastAsia="仿宋_GB2312"/>
                <w:kern w:val="0"/>
                <w:sz w:val="24"/>
              </w:rPr>
            </w:pPr>
            <w:r>
              <w:rPr>
                <w:rFonts w:eastAsia="仿宋_GB2312"/>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1532E03E">
            <w:pPr>
              <w:widowControl/>
              <w:jc w:val="left"/>
              <w:rPr>
                <w:rFonts w:eastAsia="仿宋_GB2312"/>
                <w:kern w:val="0"/>
                <w:sz w:val="24"/>
              </w:rPr>
            </w:pPr>
            <w:r>
              <w:rPr>
                <w:rFonts w:eastAsia="仿宋_GB2312"/>
                <w:kern w:val="0"/>
                <w:sz w:val="24"/>
              </w:rPr>
              <w:t xml:space="preserve">   使用单位验收意见：（盖章）</w:t>
            </w:r>
          </w:p>
          <w:p w14:paraId="78362B27">
            <w:pPr>
              <w:rPr>
                <w:rFonts w:eastAsia="仿宋_GB2312"/>
                <w:sz w:val="24"/>
              </w:rPr>
            </w:pPr>
          </w:p>
        </w:tc>
      </w:tr>
      <w:tr w14:paraId="1E92C850">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7315D358">
            <w:pPr>
              <w:widowControl/>
              <w:jc w:val="center"/>
              <w:rPr>
                <w:rFonts w:eastAsia="仿宋_GB2312"/>
                <w:kern w:val="0"/>
                <w:sz w:val="24"/>
              </w:rPr>
            </w:pPr>
            <w:r>
              <w:rPr>
                <w:rFonts w:eastAsia="仿宋_GB2312"/>
                <w:kern w:val="0"/>
                <w:sz w:val="24"/>
              </w:rPr>
              <w:t xml:space="preserve"> 签字：</w:t>
            </w:r>
          </w:p>
        </w:tc>
        <w:tc>
          <w:tcPr>
            <w:tcW w:w="1349" w:type="pct"/>
            <w:tcBorders>
              <w:top w:val="nil"/>
              <w:left w:val="nil"/>
              <w:bottom w:val="nil"/>
              <w:right w:val="nil"/>
            </w:tcBorders>
            <w:noWrap/>
            <w:vAlign w:val="center"/>
          </w:tcPr>
          <w:p w14:paraId="6FF30EAF">
            <w:pPr>
              <w:widowControl/>
              <w:jc w:val="center"/>
              <w:rPr>
                <w:rFonts w:eastAsia="仿宋_GB2312"/>
                <w:kern w:val="0"/>
                <w:sz w:val="24"/>
              </w:rPr>
            </w:pPr>
          </w:p>
        </w:tc>
        <w:tc>
          <w:tcPr>
            <w:tcW w:w="1481" w:type="pct"/>
            <w:tcBorders>
              <w:top w:val="nil"/>
              <w:left w:val="single" w:color="auto" w:sz="4" w:space="0"/>
              <w:bottom w:val="nil"/>
              <w:right w:val="nil"/>
            </w:tcBorders>
            <w:noWrap/>
            <w:vAlign w:val="center"/>
          </w:tcPr>
          <w:p w14:paraId="5D18BE3E">
            <w:pPr>
              <w:widowControl/>
              <w:jc w:val="center"/>
              <w:rPr>
                <w:rFonts w:eastAsia="仿宋_GB2312"/>
                <w:kern w:val="0"/>
                <w:sz w:val="24"/>
              </w:rPr>
            </w:pPr>
            <w:r>
              <w:rPr>
                <w:rFonts w:eastAsia="仿宋_GB2312"/>
                <w:kern w:val="0"/>
                <w:sz w:val="24"/>
              </w:rPr>
              <w:t>签字：</w:t>
            </w:r>
          </w:p>
        </w:tc>
        <w:tc>
          <w:tcPr>
            <w:tcW w:w="1248" w:type="pct"/>
            <w:tcBorders>
              <w:top w:val="nil"/>
              <w:left w:val="nil"/>
              <w:bottom w:val="nil"/>
              <w:right w:val="single" w:color="auto" w:sz="8" w:space="0"/>
            </w:tcBorders>
            <w:noWrap w:val="0"/>
            <w:vAlign w:val="top"/>
          </w:tcPr>
          <w:p w14:paraId="3A18487A">
            <w:pPr>
              <w:widowControl/>
              <w:jc w:val="left"/>
              <w:rPr>
                <w:rFonts w:eastAsia="仿宋_GB2312"/>
                <w:kern w:val="0"/>
                <w:sz w:val="24"/>
              </w:rPr>
            </w:pPr>
            <w:r>
              <w:rPr>
                <w:rFonts w:eastAsia="仿宋_GB2312"/>
                <w:kern w:val="0"/>
                <w:sz w:val="24"/>
              </w:rPr>
              <w:t>　</w:t>
            </w:r>
          </w:p>
        </w:tc>
      </w:tr>
      <w:tr w14:paraId="614CE0A3">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507804C1">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noWrap w:val="0"/>
            <w:vAlign w:val="bottom"/>
          </w:tcPr>
          <w:p w14:paraId="187B34F4">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77CD436E">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noWrap w:val="0"/>
            <w:vAlign w:val="bottom"/>
          </w:tcPr>
          <w:p w14:paraId="373A5EDB">
            <w:pPr>
              <w:widowControl/>
              <w:jc w:val="right"/>
              <w:rPr>
                <w:rFonts w:eastAsia="仿宋_GB2312"/>
                <w:kern w:val="0"/>
                <w:sz w:val="22"/>
                <w:szCs w:val="22"/>
              </w:rPr>
            </w:pPr>
            <w:r>
              <w:rPr>
                <w:rFonts w:eastAsia="仿宋_GB2312"/>
                <w:kern w:val="0"/>
                <w:sz w:val="22"/>
                <w:szCs w:val="22"/>
              </w:rPr>
              <w:t>年   月   日</w:t>
            </w:r>
          </w:p>
        </w:tc>
      </w:tr>
      <w:tr w14:paraId="6B4A491F">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1E63AE4B">
            <w:pPr>
              <w:widowControl/>
              <w:jc w:val="center"/>
              <w:rPr>
                <w:rFonts w:eastAsia="仿宋_GB2312"/>
                <w:kern w:val="0"/>
                <w:sz w:val="22"/>
                <w:szCs w:val="22"/>
              </w:rPr>
            </w:pPr>
            <w:r>
              <w:rPr>
                <w:rFonts w:eastAsia="仿宋_GB2312"/>
                <w:kern w:val="0"/>
                <w:sz w:val="22"/>
                <w:szCs w:val="22"/>
              </w:rPr>
              <w:t>采购内容</w:t>
            </w:r>
          </w:p>
        </w:tc>
      </w:tr>
      <w:tr w14:paraId="6E2BB530">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0BCFCF56">
            <w:pPr>
              <w:widowControl/>
              <w:jc w:val="center"/>
              <w:rPr>
                <w:rFonts w:eastAsia="仿宋_GB2312"/>
                <w:kern w:val="0"/>
                <w:sz w:val="28"/>
                <w:szCs w:val="28"/>
              </w:rPr>
            </w:pPr>
            <w:r>
              <w:rPr>
                <w:rFonts w:eastAsia="仿宋_GB2312"/>
                <w:kern w:val="0"/>
                <w:sz w:val="28"/>
                <w:szCs w:val="28"/>
              </w:rPr>
              <w:t>采购内容请列明品目、规格、型号、数量、单价、总价</w:t>
            </w:r>
          </w:p>
        </w:tc>
      </w:tr>
    </w:tbl>
    <w:p w14:paraId="6D53AF9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roma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92CDE"/>
    <w:rsid w:val="0BEE7FF3"/>
    <w:rsid w:val="1799350B"/>
    <w:rsid w:val="1C7E6F98"/>
    <w:rsid w:val="29505FCD"/>
    <w:rsid w:val="351E3BF7"/>
    <w:rsid w:val="48D77289"/>
    <w:rsid w:val="71BF5224"/>
    <w:rsid w:val="784C5AD8"/>
    <w:rsid w:val="7BC00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0"/>
    <w:pPr>
      <w:tabs>
        <w:tab w:val="left" w:pos="567"/>
      </w:tabs>
      <w:spacing w:before="120" w:line="22" w:lineRule="atLeast"/>
    </w:pPr>
    <w:rPr>
      <w:rFonts w:ascii="宋体" w:hAnsi="宋体"/>
      <w:sz w:val="24"/>
    </w:rPr>
  </w:style>
  <w:style w:type="character" w:customStyle="1" w:styleId="7">
    <w:name w:val="标题 1 字符"/>
    <w:link w:val="2"/>
    <w:qFormat/>
    <w:uiPriority w:val="0"/>
    <w:rPr>
      <w:rFonts w:ascii="宋体"/>
      <w:b/>
      <w:kern w:val="44"/>
      <w:sz w:val="32"/>
      <w:szCs w:val="20"/>
    </w:rPr>
  </w:style>
  <w:style w:type="paragraph" w:styleId="8">
    <w:name w:val="List Paragraph"/>
    <w:basedOn w:val="1"/>
    <w:qFormat/>
    <w:uiPriority w:val="99"/>
    <w:pPr>
      <w:widowControl/>
      <w:ind w:left="720"/>
      <w:jc w:val="left"/>
    </w:pPr>
    <w:rPr>
      <w:rFonts w:cs="宋体"/>
      <w:kern w:val="0"/>
      <w:sz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3362</Words>
  <Characters>3388</Characters>
  <Lines>0</Lines>
  <Paragraphs>0</Paragraphs>
  <TotalTime>6</TotalTime>
  <ScaleCrop>false</ScaleCrop>
  <LinksUpToDate>false</LinksUpToDate>
  <CharactersWithSpaces>3551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2025-06-05T02:11:00Z</dcterms:created>
  <dc:creator>lenovo</dc:creator>
  <cp:lastModifiedBy>wwwy</cp:lastModifiedBy>
  <dcterms:modified xsi:type="dcterms:W3CDTF">2025-12-03T15:17:33Z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eyJoZGlkIjoiM2UwY2FmNDY1YmE1ZmJjYmUwNzllNTMxNjlkZGJmYTYiLCJ1c2VySWQiOiIxMzM0OTMyMzk3In0=</vt:lpwstr>
  </property>
  <property fmtid="{D5CDD505-2E9C-101B-9397-08002B2CF9AE}" pid="4" name="ICV">
    <vt:lpwstr>6D1799AF160649E8B6733D96FB0AAAA9_12</vt:lpwstr>
  </property>
</Properties>
</file>