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25CF7">
      <w:pPr>
        <w:spacing w:line="480" w:lineRule="exact"/>
        <w:jc w:val="center"/>
        <w:rPr>
          <w:rFonts w:ascii="Arial" w:hAnsi="Arial"/>
          <w:b/>
          <w:bCs/>
          <w:sz w:val="36"/>
          <w:szCs w:val="32"/>
        </w:rPr>
      </w:pPr>
      <w:r>
        <w:rPr>
          <w:rFonts w:hint="eastAsia" w:ascii="Arial" w:hAnsi="Arial"/>
          <w:b/>
          <w:bCs/>
          <w:sz w:val="36"/>
          <w:szCs w:val="32"/>
        </w:rPr>
        <w:t>商务要求</w:t>
      </w:r>
      <w:bookmarkStart w:id="0" w:name="_Toc167712839"/>
      <w:bookmarkStart w:id="1" w:name="_Toc167715235"/>
      <w:bookmarkStart w:id="2" w:name="_Toc167714037"/>
      <w:bookmarkStart w:id="3" w:name="_Toc167712840"/>
      <w:bookmarkStart w:id="4" w:name="_Toc167714038"/>
      <w:bookmarkStart w:id="5" w:name="_Toc167715234"/>
      <w:r>
        <w:rPr>
          <w:rFonts w:hint="eastAsia" w:ascii="Arial" w:hAnsi="Arial"/>
          <w:b/>
          <w:bCs/>
          <w:sz w:val="36"/>
          <w:szCs w:val="32"/>
          <w:lang w:val="zh-CN"/>
        </w:rPr>
        <w:t>合同主要条款</w:t>
      </w:r>
    </w:p>
    <w:bookmarkEnd w:id="0"/>
    <w:bookmarkEnd w:id="1"/>
    <w:bookmarkEnd w:id="2"/>
    <w:bookmarkEnd w:id="3"/>
    <w:bookmarkEnd w:id="4"/>
    <w:bookmarkEnd w:id="5"/>
    <w:p w14:paraId="3603B0EC">
      <w:pPr>
        <w:pStyle w:val="7"/>
        <w:spacing w:line="360" w:lineRule="auto"/>
        <w:ind w:firstLine="480"/>
        <w:rPr>
          <w:rFonts w:hint="eastAsia" w:ascii="宋体" w:hAnsi="宋体"/>
          <w:szCs w:val="24"/>
        </w:rPr>
      </w:pPr>
      <w:r>
        <w:rPr>
          <w:rFonts w:hint="eastAsia" w:ascii="宋体" w:hAnsi="宋体"/>
          <w:szCs w:val="24"/>
        </w:rPr>
        <w:t xml:space="preserve">合同编号： </w:t>
      </w:r>
    </w:p>
    <w:p w14:paraId="71B0806E">
      <w:pPr>
        <w:pStyle w:val="7"/>
        <w:spacing w:line="360" w:lineRule="auto"/>
        <w:ind w:firstLine="480"/>
        <w:rPr>
          <w:rFonts w:hint="eastAsia" w:ascii="宋体" w:hAnsi="宋体"/>
          <w:szCs w:val="24"/>
        </w:rPr>
      </w:pPr>
      <w:r>
        <w:rPr>
          <w:rFonts w:hint="eastAsia" w:ascii="宋体" w:hAnsi="宋体"/>
          <w:szCs w:val="24"/>
        </w:rPr>
        <w:t xml:space="preserve">签订地点： </w:t>
      </w:r>
    </w:p>
    <w:p w14:paraId="0326B3B0">
      <w:pPr>
        <w:pStyle w:val="7"/>
        <w:spacing w:line="360" w:lineRule="auto"/>
        <w:ind w:firstLine="480"/>
        <w:rPr>
          <w:rFonts w:hint="eastAsia" w:ascii="宋体" w:hAnsi="宋体"/>
          <w:szCs w:val="24"/>
        </w:rPr>
      </w:pPr>
      <w:r>
        <w:rPr>
          <w:rFonts w:hint="eastAsia" w:ascii="宋体" w:hAnsi="宋体"/>
          <w:szCs w:val="24"/>
        </w:rPr>
        <w:t>签订时间:</w:t>
      </w:r>
    </w:p>
    <w:p w14:paraId="4C9F8C8D">
      <w:pPr>
        <w:pStyle w:val="7"/>
        <w:spacing w:line="360" w:lineRule="auto"/>
        <w:ind w:firstLine="480"/>
        <w:rPr>
          <w:rFonts w:hint="eastAsia" w:ascii="宋体" w:hAnsi="宋体"/>
          <w:szCs w:val="24"/>
        </w:rPr>
      </w:pPr>
      <w:r>
        <w:rPr>
          <w:rFonts w:hint="eastAsia" w:ascii="宋体" w:hAnsi="宋体"/>
          <w:szCs w:val="24"/>
        </w:rPr>
        <w:t>甲方：</w:t>
      </w:r>
    </w:p>
    <w:p w14:paraId="1FFEC10A">
      <w:pPr>
        <w:pStyle w:val="7"/>
        <w:spacing w:line="360" w:lineRule="auto"/>
        <w:ind w:firstLine="480"/>
        <w:rPr>
          <w:rFonts w:hint="eastAsia" w:ascii="宋体" w:hAnsi="宋体"/>
          <w:szCs w:val="24"/>
        </w:rPr>
      </w:pPr>
      <w:r>
        <w:rPr>
          <w:rFonts w:hint="eastAsia" w:ascii="宋体" w:hAnsi="宋体"/>
          <w:szCs w:val="24"/>
        </w:rPr>
        <w:t>乙方：</w:t>
      </w:r>
    </w:p>
    <w:p w14:paraId="3CE380F3">
      <w:pPr>
        <w:spacing w:line="360" w:lineRule="auto"/>
        <w:ind w:firstLine="480" w:firstLineChars="200"/>
        <w:rPr>
          <w:rFonts w:hint="eastAsia" w:ascii="宋体" w:hAnsi="宋体" w:cs="宋体"/>
          <w:szCs w:val="24"/>
        </w:rPr>
      </w:pPr>
      <w:r>
        <w:rPr>
          <w:rFonts w:hint="eastAsia" w:ascii="宋体" w:hAnsi="宋体" w:cs="宋体"/>
          <w:szCs w:val="24"/>
        </w:rPr>
        <w:t>根据《中华人民共和国政府采购法》及实施条例、《中华人民共和国民法典》等有关法律法规规定，为确保甲方采购项目的顺利实施，甲、乙双方在平等自愿原则下签订本合同，并共同遵守如下条款：</w:t>
      </w:r>
    </w:p>
    <w:p w14:paraId="67598BBB">
      <w:pPr>
        <w:pStyle w:val="7"/>
        <w:spacing w:line="360" w:lineRule="auto"/>
        <w:ind w:firstLine="424" w:firstLineChars="176"/>
        <w:rPr>
          <w:rFonts w:hint="eastAsia" w:ascii="宋体" w:hAnsi="宋体"/>
          <w:b/>
          <w:szCs w:val="24"/>
        </w:rPr>
      </w:pPr>
      <w:r>
        <w:rPr>
          <w:rFonts w:hint="eastAsia" w:ascii="宋体" w:hAnsi="宋体"/>
          <w:b/>
          <w:szCs w:val="24"/>
        </w:rPr>
        <w:t>第一条 合同标的及数量</w:t>
      </w:r>
      <w:bookmarkStart w:id="6" w:name="_GoBack"/>
      <w:bookmarkEnd w:id="6"/>
    </w:p>
    <w:p w14:paraId="0CF27353">
      <w:pPr>
        <w:spacing w:line="360" w:lineRule="auto"/>
        <w:ind w:firstLine="480" w:firstLineChars="200"/>
        <w:rPr>
          <w:rFonts w:hint="eastAsia" w:ascii="宋体" w:hAnsi="宋体" w:cs="宋体"/>
          <w:b/>
          <w:szCs w:val="24"/>
        </w:rPr>
      </w:pPr>
      <w:r>
        <w:rPr>
          <w:rFonts w:hint="eastAsia" w:ascii="宋体" w:hAnsi="宋体" w:cs="宋体"/>
          <w:szCs w:val="24"/>
        </w:rPr>
        <w:t>乙方向甲方提供下列货物（产品）：</w:t>
      </w:r>
    </w:p>
    <w:tbl>
      <w:tblPr>
        <w:tblStyle w:val="5"/>
        <w:tblpPr w:leftFromText="180" w:rightFromText="180" w:vertAnchor="text" w:horzAnchor="margin" w:tblpY="309"/>
        <w:tblW w:w="917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4"/>
        <w:gridCol w:w="1604"/>
        <w:gridCol w:w="1552"/>
        <w:gridCol w:w="706"/>
        <w:gridCol w:w="892"/>
        <w:gridCol w:w="1189"/>
        <w:gridCol w:w="1040"/>
        <w:gridCol w:w="1628"/>
      </w:tblGrid>
      <w:tr w14:paraId="4C0E6F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564" w:type="dxa"/>
            <w:tcBorders>
              <w:bottom w:val="single" w:color="auto" w:sz="4" w:space="0"/>
              <w:right w:val="single" w:color="auto" w:sz="4" w:space="0"/>
            </w:tcBorders>
            <w:vAlign w:val="center"/>
          </w:tcPr>
          <w:p w14:paraId="421EED95">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序号</w:t>
            </w:r>
          </w:p>
        </w:tc>
        <w:tc>
          <w:tcPr>
            <w:tcW w:w="1604" w:type="dxa"/>
            <w:tcBorders>
              <w:left w:val="single" w:color="auto" w:sz="4" w:space="0"/>
              <w:bottom w:val="single" w:color="auto" w:sz="4" w:space="0"/>
              <w:right w:val="single" w:color="auto" w:sz="4" w:space="0"/>
            </w:tcBorders>
            <w:vAlign w:val="center"/>
          </w:tcPr>
          <w:p w14:paraId="10523B68">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货物名称</w:t>
            </w:r>
          </w:p>
        </w:tc>
        <w:tc>
          <w:tcPr>
            <w:tcW w:w="1552" w:type="dxa"/>
            <w:tcBorders>
              <w:left w:val="single" w:color="auto" w:sz="4" w:space="0"/>
              <w:bottom w:val="single" w:color="auto" w:sz="4" w:space="0"/>
              <w:right w:val="single" w:color="auto" w:sz="4" w:space="0"/>
            </w:tcBorders>
            <w:vAlign w:val="center"/>
          </w:tcPr>
          <w:p w14:paraId="1220F3A8">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品牌/型号</w:t>
            </w:r>
          </w:p>
        </w:tc>
        <w:tc>
          <w:tcPr>
            <w:tcW w:w="706" w:type="dxa"/>
            <w:tcBorders>
              <w:left w:val="single" w:color="auto" w:sz="4" w:space="0"/>
              <w:bottom w:val="single" w:color="auto" w:sz="4" w:space="0"/>
              <w:right w:val="single" w:color="auto" w:sz="4" w:space="0"/>
            </w:tcBorders>
            <w:vAlign w:val="center"/>
          </w:tcPr>
          <w:p w14:paraId="165B2284">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规格</w:t>
            </w:r>
          </w:p>
        </w:tc>
        <w:tc>
          <w:tcPr>
            <w:tcW w:w="892" w:type="dxa"/>
            <w:tcBorders>
              <w:left w:val="single" w:color="auto" w:sz="4" w:space="0"/>
              <w:bottom w:val="single" w:color="auto" w:sz="4" w:space="0"/>
              <w:right w:val="single" w:color="auto" w:sz="4" w:space="0"/>
            </w:tcBorders>
            <w:vAlign w:val="center"/>
          </w:tcPr>
          <w:p w14:paraId="0A2B904A">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计量单位</w:t>
            </w:r>
          </w:p>
        </w:tc>
        <w:tc>
          <w:tcPr>
            <w:tcW w:w="1189" w:type="dxa"/>
            <w:tcBorders>
              <w:left w:val="single" w:color="auto" w:sz="4" w:space="0"/>
              <w:bottom w:val="single" w:color="auto" w:sz="4" w:space="0"/>
              <w:right w:val="single" w:color="auto" w:sz="4" w:space="0"/>
            </w:tcBorders>
            <w:vAlign w:val="center"/>
          </w:tcPr>
          <w:p w14:paraId="517F3121">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数量</w:t>
            </w:r>
          </w:p>
        </w:tc>
        <w:tc>
          <w:tcPr>
            <w:tcW w:w="1040" w:type="dxa"/>
            <w:tcBorders>
              <w:left w:val="single" w:color="auto" w:sz="4" w:space="0"/>
              <w:bottom w:val="single" w:color="auto" w:sz="4" w:space="0"/>
              <w:right w:val="single" w:color="auto" w:sz="4" w:space="0"/>
            </w:tcBorders>
            <w:vAlign w:val="center"/>
          </w:tcPr>
          <w:p w14:paraId="43E640AE">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单价（元）</w:t>
            </w:r>
          </w:p>
        </w:tc>
        <w:tc>
          <w:tcPr>
            <w:tcW w:w="1628" w:type="dxa"/>
            <w:tcBorders>
              <w:left w:val="single" w:color="auto" w:sz="4" w:space="0"/>
              <w:bottom w:val="single" w:color="auto" w:sz="4" w:space="0"/>
            </w:tcBorders>
            <w:vAlign w:val="center"/>
          </w:tcPr>
          <w:p w14:paraId="53FC3C31">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金额 (元)</w:t>
            </w:r>
          </w:p>
        </w:tc>
      </w:tr>
      <w:tr w14:paraId="5E2ACA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tcBorders>
              <w:top w:val="single" w:color="auto" w:sz="4" w:space="0"/>
              <w:bottom w:val="single" w:color="auto" w:sz="4" w:space="0"/>
              <w:right w:val="single" w:color="auto" w:sz="4" w:space="0"/>
            </w:tcBorders>
          </w:tcPr>
          <w:p w14:paraId="26D8836A">
            <w:pPr>
              <w:spacing w:line="360" w:lineRule="auto"/>
              <w:rPr>
                <w:rFonts w:hint="eastAsia" w:ascii="宋体" w:hAnsi="宋体" w:cs="宋体"/>
                <w:color w:val="auto"/>
                <w:szCs w:val="24"/>
                <w:highlight w:val="none"/>
              </w:rPr>
            </w:pPr>
          </w:p>
        </w:tc>
        <w:tc>
          <w:tcPr>
            <w:tcW w:w="1604" w:type="dxa"/>
            <w:tcBorders>
              <w:top w:val="single" w:color="auto" w:sz="4" w:space="0"/>
              <w:left w:val="single" w:color="auto" w:sz="4" w:space="0"/>
              <w:bottom w:val="single" w:color="auto" w:sz="4" w:space="0"/>
              <w:right w:val="single" w:color="auto" w:sz="4" w:space="0"/>
            </w:tcBorders>
          </w:tcPr>
          <w:p w14:paraId="7D2F58A9">
            <w:pPr>
              <w:spacing w:line="360" w:lineRule="auto"/>
              <w:rPr>
                <w:rFonts w:hint="eastAsia" w:ascii="宋体" w:hAnsi="宋体" w:cs="宋体"/>
                <w:color w:val="auto"/>
                <w:szCs w:val="24"/>
                <w:highlight w:val="none"/>
              </w:rPr>
            </w:pPr>
          </w:p>
        </w:tc>
        <w:tc>
          <w:tcPr>
            <w:tcW w:w="1552" w:type="dxa"/>
            <w:tcBorders>
              <w:top w:val="single" w:color="auto" w:sz="4" w:space="0"/>
              <w:left w:val="single" w:color="auto" w:sz="4" w:space="0"/>
              <w:bottom w:val="single" w:color="auto" w:sz="4" w:space="0"/>
              <w:right w:val="single" w:color="auto" w:sz="4" w:space="0"/>
            </w:tcBorders>
          </w:tcPr>
          <w:p w14:paraId="07157713">
            <w:pPr>
              <w:spacing w:line="360" w:lineRule="auto"/>
              <w:rPr>
                <w:rFonts w:hint="eastAsia" w:ascii="宋体" w:hAnsi="宋体" w:cs="宋体"/>
                <w:color w:val="auto"/>
                <w:szCs w:val="24"/>
                <w:highlight w:val="none"/>
              </w:rPr>
            </w:pPr>
          </w:p>
        </w:tc>
        <w:tc>
          <w:tcPr>
            <w:tcW w:w="706" w:type="dxa"/>
            <w:tcBorders>
              <w:top w:val="single" w:color="auto" w:sz="4" w:space="0"/>
              <w:left w:val="single" w:color="auto" w:sz="4" w:space="0"/>
              <w:bottom w:val="single" w:color="auto" w:sz="4" w:space="0"/>
              <w:right w:val="single" w:color="auto" w:sz="4" w:space="0"/>
            </w:tcBorders>
          </w:tcPr>
          <w:p w14:paraId="6683E28B">
            <w:pPr>
              <w:spacing w:line="360" w:lineRule="auto"/>
              <w:rPr>
                <w:rFonts w:hint="eastAsia" w:ascii="宋体" w:hAnsi="宋体" w:cs="宋体"/>
                <w:color w:val="auto"/>
                <w:szCs w:val="24"/>
                <w:highlight w:val="none"/>
              </w:rPr>
            </w:pPr>
          </w:p>
        </w:tc>
        <w:tc>
          <w:tcPr>
            <w:tcW w:w="892" w:type="dxa"/>
            <w:tcBorders>
              <w:top w:val="single" w:color="auto" w:sz="4" w:space="0"/>
              <w:left w:val="single" w:color="auto" w:sz="4" w:space="0"/>
              <w:bottom w:val="single" w:color="auto" w:sz="4" w:space="0"/>
              <w:right w:val="single" w:color="auto" w:sz="4" w:space="0"/>
            </w:tcBorders>
          </w:tcPr>
          <w:p w14:paraId="426B6375">
            <w:pPr>
              <w:spacing w:line="360" w:lineRule="auto"/>
              <w:rPr>
                <w:rFonts w:hint="eastAsia" w:ascii="宋体" w:hAnsi="宋体" w:cs="宋体"/>
                <w:color w:val="auto"/>
                <w:szCs w:val="24"/>
                <w:highlight w:val="none"/>
              </w:rPr>
            </w:pPr>
          </w:p>
        </w:tc>
        <w:tc>
          <w:tcPr>
            <w:tcW w:w="1189" w:type="dxa"/>
            <w:tcBorders>
              <w:top w:val="single" w:color="auto" w:sz="4" w:space="0"/>
              <w:left w:val="single" w:color="auto" w:sz="4" w:space="0"/>
              <w:bottom w:val="single" w:color="auto" w:sz="4" w:space="0"/>
              <w:right w:val="single" w:color="auto" w:sz="4" w:space="0"/>
            </w:tcBorders>
          </w:tcPr>
          <w:p w14:paraId="5BC8B8AC">
            <w:pPr>
              <w:spacing w:line="360" w:lineRule="auto"/>
              <w:rPr>
                <w:rFonts w:hint="eastAsia" w:ascii="宋体" w:hAnsi="宋体" w:cs="宋体"/>
                <w:color w:val="auto"/>
                <w:szCs w:val="24"/>
                <w:highlight w:val="none"/>
              </w:rPr>
            </w:pPr>
          </w:p>
        </w:tc>
        <w:tc>
          <w:tcPr>
            <w:tcW w:w="1040" w:type="dxa"/>
            <w:tcBorders>
              <w:top w:val="single" w:color="auto" w:sz="4" w:space="0"/>
              <w:left w:val="single" w:color="auto" w:sz="4" w:space="0"/>
              <w:bottom w:val="single" w:color="auto" w:sz="4" w:space="0"/>
              <w:right w:val="single" w:color="auto" w:sz="4" w:space="0"/>
            </w:tcBorders>
          </w:tcPr>
          <w:p w14:paraId="5318170C">
            <w:pPr>
              <w:spacing w:line="360" w:lineRule="auto"/>
              <w:rPr>
                <w:rFonts w:hint="eastAsia" w:ascii="宋体" w:hAnsi="宋体" w:cs="宋体"/>
                <w:color w:val="auto"/>
                <w:szCs w:val="24"/>
                <w:highlight w:val="none"/>
              </w:rPr>
            </w:pPr>
          </w:p>
        </w:tc>
        <w:tc>
          <w:tcPr>
            <w:tcW w:w="1628" w:type="dxa"/>
            <w:tcBorders>
              <w:top w:val="single" w:color="auto" w:sz="4" w:space="0"/>
              <w:left w:val="single" w:color="auto" w:sz="4" w:space="0"/>
              <w:bottom w:val="single" w:color="auto" w:sz="4" w:space="0"/>
            </w:tcBorders>
          </w:tcPr>
          <w:p w14:paraId="557CE215">
            <w:pPr>
              <w:spacing w:line="360" w:lineRule="auto"/>
              <w:rPr>
                <w:rFonts w:hint="eastAsia" w:ascii="宋体" w:hAnsi="宋体" w:cs="宋体"/>
                <w:color w:val="auto"/>
                <w:szCs w:val="24"/>
                <w:highlight w:val="none"/>
              </w:rPr>
            </w:pPr>
          </w:p>
        </w:tc>
      </w:tr>
      <w:tr w14:paraId="660D94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tcBorders>
              <w:top w:val="single" w:color="auto" w:sz="4" w:space="0"/>
              <w:bottom w:val="single" w:color="auto" w:sz="4" w:space="0"/>
              <w:right w:val="single" w:color="auto" w:sz="4" w:space="0"/>
            </w:tcBorders>
          </w:tcPr>
          <w:p w14:paraId="1EADD161">
            <w:pPr>
              <w:spacing w:line="360" w:lineRule="auto"/>
              <w:rPr>
                <w:rFonts w:hint="eastAsia" w:ascii="宋体" w:hAnsi="宋体" w:cs="宋体"/>
                <w:color w:val="auto"/>
                <w:szCs w:val="24"/>
                <w:highlight w:val="none"/>
              </w:rPr>
            </w:pPr>
          </w:p>
        </w:tc>
        <w:tc>
          <w:tcPr>
            <w:tcW w:w="1604" w:type="dxa"/>
            <w:tcBorders>
              <w:top w:val="single" w:color="auto" w:sz="4" w:space="0"/>
              <w:left w:val="single" w:color="auto" w:sz="4" w:space="0"/>
              <w:bottom w:val="single" w:color="auto" w:sz="4" w:space="0"/>
              <w:right w:val="single" w:color="auto" w:sz="4" w:space="0"/>
            </w:tcBorders>
          </w:tcPr>
          <w:p w14:paraId="10764D50">
            <w:pPr>
              <w:spacing w:line="360" w:lineRule="auto"/>
              <w:rPr>
                <w:rFonts w:hint="eastAsia" w:ascii="宋体" w:hAnsi="宋体" w:cs="宋体"/>
                <w:color w:val="auto"/>
                <w:szCs w:val="24"/>
                <w:highlight w:val="none"/>
              </w:rPr>
            </w:pPr>
          </w:p>
        </w:tc>
        <w:tc>
          <w:tcPr>
            <w:tcW w:w="1552" w:type="dxa"/>
            <w:tcBorders>
              <w:top w:val="single" w:color="auto" w:sz="4" w:space="0"/>
              <w:left w:val="single" w:color="auto" w:sz="4" w:space="0"/>
              <w:bottom w:val="single" w:color="auto" w:sz="4" w:space="0"/>
              <w:right w:val="single" w:color="auto" w:sz="4" w:space="0"/>
            </w:tcBorders>
          </w:tcPr>
          <w:p w14:paraId="507934AA">
            <w:pPr>
              <w:spacing w:line="360" w:lineRule="auto"/>
              <w:rPr>
                <w:rFonts w:hint="eastAsia" w:ascii="宋体" w:hAnsi="宋体" w:cs="宋体"/>
                <w:color w:val="auto"/>
                <w:szCs w:val="24"/>
                <w:highlight w:val="none"/>
              </w:rPr>
            </w:pPr>
          </w:p>
        </w:tc>
        <w:tc>
          <w:tcPr>
            <w:tcW w:w="706" w:type="dxa"/>
            <w:tcBorders>
              <w:top w:val="single" w:color="auto" w:sz="4" w:space="0"/>
              <w:left w:val="single" w:color="auto" w:sz="4" w:space="0"/>
              <w:bottom w:val="single" w:color="auto" w:sz="4" w:space="0"/>
              <w:right w:val="single" w:color="auto" w:sz="4" w:space="0"/>
            </w:tcBorders>
          </w:tcPr>
          <w:p w14:paraId="5C7CF018">
            <w:pPr>
              <w:spacing w:line="360" w:lineRule="auto"/>
              <w:rPr>
                <w:rFonts w:hint="eastAsia" w:ascii="宋体" w:hAnsi="宋体" w:cs="宋体"/>
                <w:color w:val="auto"/>
                <w:szCs w:val="24"/>
                <w:highlight w:val="none"/>
              </w:rPr>
            </w:pPr>
          </w:p>
        </w:tc>
        <w:tc>
          <w:tcPr>
            <w:tcW w:w="892" w:type="dxa"/>
            <w:tcBorders>
              <w:top w:val="single" w:color="auto" w:sz="4" w:space="0"/>
              <w:left w:val="single" w:color="auto" w:sz="4" w:space="0"/>
              <w:bottom w:val="single" w:color="auto" w:sz="4" w:space="0"/>
              <w:right w:val="single" w:color="auto" w:sz="4" w:space="0"/>
            </w:tcBorders>
          </w:tcPr>
          <w:p w14:paraId="5A271540">
            <w:pPr>
              <w:spacing w:line="360" w:lineRule="auto"/>
              <w:rPr>
                <w:rFonts w:hint="eastAsia" w:ascii="宋体" w:hAnsi="宋体" w:cs="宋体"/>
                <w:color w:val="auto"/>
                <w:szCs w:val="24"/>
                <w:highlight w:val="none"/>
              </w:rPr>
            </w:pPr>
          </w:p>
        </w:tc>
        <w:tc>
          <w:tcPr>
            <w:tcW w:w="1189" w:type="dxa"/>
            <w:tcBorders>
              <w:top w:val="single" w:color="auto" w:sz="4" w:space="0"/>
              <w:left w:val="single" w:color="auto" w:sz="4" w:space="0"/>
              <w:bottom w:val="single" w:color="auto" w:sz="4" w:space="0"/>
              <w:right w:val="single" w:color="auto" w:sz="4" w:space="0"/>
            </w:tcBorders>
          </w:tcPr>
          <w:p w14:paraId="0547D22A">
            <w:pPr>
              <w:spacing w:line="360" w:lineRule="auto"/>
              <w:rPr>
                <w:rFonts w:hint="eastAsia" w:ascii="宋体" w:hAnsi="宋体" w:cs="宋体"/>
                <w:color w:val="auto"/>
                <w:szCs w:val="24"/>
                <w:highlight w:val="none"/>
              </w:rPr>
            </w:pPr>
          </w:p>
        </w:tc>
        <w:tc>
          <w:tcPr>
            <w:tcW w:w="1040" w:type="dxa"/>
            <w:tcBorders>
              <w:top w:val="single" w:color="auto" w:sz="4" w:space="0"/>
              <w:left w:val="single" w:color="auto" w:sz="4" w:space="0"/>
              <w:bottom w:val="single" w:color="auto" w:sz="4" w:space="0"/>
              <w:right w:val="single" w:color="auto" w:sz="4" w:space="0"/>
            </w:tcBorders>
          </w:tcPr>
          <w:p w14:paraId="7EE40A41">
            <w:pPr>
              <w:spacing w:line="360" w:lineRule="auto"/>
              <w:rPr>
                <w:rFonts w:hint="eastAsia" w:ascii="宋体" w:hAnsi="宋体" w:cs="宋体"/>
                <w:color w:val="auto"/>
                <w:szCs w:val="24"/>
                <w:highlight w:val="none"/>
              </w:rPr>
            </w:pPr>
          </w:p>
        </w:tc>
        <w:tc>
          <w:tcPr>
            <w:tcW w:w="1628" w:type="dxa"/>
            <w:tcBorders>
              <w:top w:val="single" w:color="auto" w:sz="4" w:space="0"/>
              <w:left w:val="single" w:color="auto" w:sz="4" w:space="0"/>
              <w:bottom w:val="single" w:color="auto" w:sz="4" w:space="0"/>
            </w:tcBorders>
          </w:tcPr>
          <w:p w14:paraId="40DD6B32">
            <w:pPr>
              <w:spacing w:line="360" w:lineRule="auto"/>
              <w:rPr>
                <w:rFonts w:hint="eastAsia" w:ascii="宋体" w:hAnsi="宋体" w:cs="宋体"/>
                <w:color w:val="auto"/>
                <w:szCs w:val="24"/>
                <w:highlight w:val="none"/>
              </w:rPr>
            </w:pPr>
          </w:p>
        </w:tc>
      </w:tr>
      <w:tr w14:paraId="0EC4CC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tcBorders>
              <w:top w:val="single" w:color="auto" w:sz="4" w:space="0"/>
              <w:bottom w:val="single" w:color="auto" w:sz="4" w:space="0"/>
              <w:right w:val="single" w:color="auto" w:sz="4" w:space="0"/>
            </w:tcBorders>
          </w:tcPr>
          <w:p w14:paraId="0B855560">
            <w:pPr>
              <w:spacing w:line="360" w:lineRule="auto"/>
              <w:rPr>
                <w:rFonts w:hint="eastAsia" w:ascii="宋体" w:hAnsi="宋体" w:cs="宋体"/>
                <w:color w:val="auto"/>
                <w:szCs w:val="24"/>
                <w:highlight w:val="none"/>
              </w:rPr>
            </w:pPr>
          </w:p>
        </w:tc>
        <w:tc>
          <w:tcPr>
            <w:tcW w:w="1604" w:type="dxa"/>
            <w:tcBorders>
              <w:top w:val="single" w:color="auto" w:sz="4" w:space="0"/>
              <w:left w:val="single" w:color="auto" w:sz="4" w:space="0"/>
              <w:bottom w:val="single" w:color="auto" w:sz="4" w:space="0"/>
              <w:right w:val="single" w:color="auto" w:sz="4" w:space="0"/>
            </w:tcBorders>
          </w:tcPr>
          <w:p w14:paraId="301FC057">
            <w:pPr>
              <w:spacing w:line="360" w:lineRule="auto"/>
              <w:rPr>
                <w:rFonts w:hint="eastAsia" w:ascii="宋体" w:hAnsi="宋体" w:cs="宋体"/>
                <w:color w:val="auto"/>
                <w:szCs w:val="24"/>
                <w:highlight w:val="none"/>
              </w:rPr>
            </w:pPr>
          </w:p>
        </w:tc>
        <w:tc>
          <w:tcPr>
            <w:tcW w:w="1552" w:type="dxa"/>
            <w:tcBorders>
              <w:top w:val="single" w:color="auto" w:sz="4" w:space="0"/>
              <w:left w:val="single" w:color="auto" w:sz="4" w:space="0"/>
              <w:bottom w:val="single" w:color="auto" w:sz="4" w:space="0"/>
              <w:right w:val="single" w:color="auto" w:sz="4" w:space="0"/>
            </w:tcBorders>
          </w:tcPr>
          <w:p w14:paraId="5DBA5A2F">
            <w:pPr>
              <w:spacing w:line="360" w:lineRule="auto"/>
              <w:rPr>
                <w:rFonts w:hint="eastAsia" w:ascii="宋体" w:hAnsi="宋体" w:cs="宋体"/>
                <w:color w:val="auto"/>
                <w:szCs w:val="24"/>
                <w:highlight w:val="none"/>
              </w:rPr>
            </w:pPr>
          </w:p>
        </w:tc>
        <w:tc>
          <w:tcPr>
            <w:tcW w:w="706" w:type="dxa"/>
            <w:tcBorders>
              <w:top w:val="single" w:color="auto" w:sz="4" w:space="0"/>
              <w:left w:val="single" w:color="auto" w:sz="4" w:space="0"/>
              <w:bottom w:val="single" w:color="auto" w:sz="4" w:space="0"/>
              <w:right w:val="single" w:color="auto" w:sz="4" w:space="0"/>
            </w:tcBorders>
          </w:tcPr>
          <w:p w14:paraId="17F818C9">
            <w:pPr>
              <w:spacing w:line="360" w:lineRule="auto"/>
              <w:rPr>
                <w:rFonts w:hint="eastAsia" w:ascii="宋体" w:hAnsi="宋体" w:cs="宋体"/>
                <w:color w:val="auto"/>
                <w:szCs w:val="24"/>
                <w:highlight w:val="none"/>
              </w:rPr>
            </w:pPr>
          </w:p>
        </w:tc>
        <w:tc>
          <w:tcPr>
            <w:tcW w:w="892" w:type="dxa"/>
            <w:tcBorders>
              <w:top w:val="single" w:color="auto" w:sz="4" w:space="0"/>
              <w:left w:val="single" w:color="auto" w:sz="4" w:space="0"/>
              <w:bottom w:val="single" w:color="auto" w:sz="4" w:space="0"/>
              <w:right w:val="single" w:color="auto" w:sz="4" w:space="0"/>
            </w:tcBorders>
          </w:tcPr>
          <w:p w14:paraId="4DE5E0EA">
            <w:pPr>
              <w:spacing w:line="360" w:lineRule="auto"/>
              <w:rPr>
                <w:rFonts w:hint="eastAsia" w:ascii="宋体" w:hAnsi="宋体" w:cs="宋体"/>
                <w:color w:val="auto"/>
                <w:szCs w:val="24"/>
                <w:highlight w:val="none"/>
              </w:rPr>
            </w:pPr>
          </w:p>
        </w:tc>
        <w:tc>
          <w:tcPr>
            <w:tcW w:w="1189" w:type="dxa"/>
            <w:tcBorders>
              <w:top w:val="single" w:color="auto" w:sz="4" w:space="0"/>
              <w:left w:val="single" w:color="auto" w:sz="4" w:space="0"/>
              <w:bottom w:val="single" w:color="auto" w:sz="4" w:space="0"/>
              <w:right w:val="single" w:color="auto" w:sz="4" w:space="0"/>
            </w:tcBorders>
          </w:tcPr>
          <w:p w14:paraId="3047AC69">
            <w:pPr>
              <w:spacing w:line="360" w:lineRule="auto"/>
              <w:rPr>
                <w:rFonts w:hint="eastAsia" w:ascii="宋体" w:hAnsi="宋体" w:cs="宋体"/>
                <w:color w:val="auto"/>
                <w:szCs w:val="24"/>
                <w:highlight w:val="none"/>
              </w:rPr>
            </w:pPr>
          </w:p>
        </w:tc>
        <w:tc>
          <w:tcPr>
            <w:tcW w:w="1040" w:type="dxa"/>
            <w:tcBorders>
              <w:top w:val="single" w:color="auto" w:sz="4" w:space="0"/>
              <w:left w:val="single" w:color="auto" w:sz="4" w:space="0"/>
              <w:bottom w:val="single" w:color="auto" w:sz="4" w:space="0"/>
              <w:right w:val="single" w:color="auto" w:sz="4" w:space="0"/>
            </w:tcBorders>
          </w:tcPr>
          <w:p w14:paraId="73C8C614">
            <w:pPr>
              <w:spacing w:line="360" w:lineRule="auto"/>
              <w:rPr>
                <w:rFonts w:hint="eastAsia" w:ascii="宋体" w:hAnsi="宋体" w:cs="宋体"/>
                <w:color w:val="auto"/>
                <w:szCs w:val="24"/>
                <w:highlight w:val="none"/>
              </w:rPr>
            </w:pPr>
          </w:p>
        </w:tc>
        <w:tc>
          <w:tcPr>
            <w:tcW w:w="1628" w:type="dxa"/>
            <w:tcBorders>
              <w:top w:val="single" w:color="auto" w:sz="4" w:space="0"/>
              <w:left w:val="single" w:color="auto" w:sz="4" w:space="0"/>
              <w:bottom w:val="single" w:color="auto" w:sz="4" w:space="0"/>
            </w:tcBorders>
          </w:tcPr>
          <w:p w14:paraId="3DE9D115">
            <w:pPr>
              <w:spacing w:line="360" w:lineRule="auto"/>
              <w:rPr>
                <w:rFonts w:hint="eastAsia" w:ascii="宋体" w:hAnsi="宋体" w:cs="宋体"/>
                <w:color w:val="auto"/>
                <w:szCs w:val="24"/>
                <w:highlight w:val="none"/>
              </w:rPr>
            </w:pPr>
          </w:p>
        </w:tc>
      </w:tr>
      <w:tr w14:paraId="7AFA98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tcBorders>
              <w:top w:val="single" w:color="auto" w:sz="4" w:space="0"/>
              <w:bottom w:val="single" w:color="auto" w:sz="4" w:space="0"/>
              <w:right w:val="single" w:color="auto" w:sz="4" w:space="0"/>
            </w:tcBorders>
          </w:tcPr>
          <w:p w14:paraId="39A1F2AF">
            <w:pPr>
              <w:spacing w:line="360" w:lineRule="auto"/>
              <w:rPr>
                <w:rFonts w:hint="eastAsia" w:ascii="宋体" w:hAnsi="宋体" w:cs="宋体"/>
                <w:color w:val="auto"/>
                <w:szCs w:val="24"/>
                <w:highlight w:val="none"/>
              </w:rPr>
            </w:pPr>
          </w:p>
        </w:tc>
        <w:tc>
          <w:tcPr>
            <w:tcW w:w="1604" w:type="dxa"/>
            <w:tcBorders>
              <w:top w:val="single" w:color="auto" w:sz="4" w:space="0"/>
              <w:left w:val="single" w:color="auto" w:sz="4" w:space="0"/>
              <w:bottom w:val="single" w:color="auto" w:sz="4" w:space="0"/>
              <w:right w:val="single" w:color="auto" w:sz="4" w:space="0"/>
            </w:tcBorders>
          </w:tcPr>
          <w:p w14:paraId="624A0816">
            <w:pPr>
              <w:spacing w:line="360" w:lineRule="auto"/>
              <w:rPr>
                <w:rFonts w:hint="eastAsia" w:ascii="宋体" w:hAnsi="宋体" w:cs="宋体"/>
                <w:color w:val="auto"/>
                <w:szCs w:val="24"/>
                <w:highlight w:val="none"/>
              </w:rPr>
            </w:pPr>
          </w:p>
        </w:tc>
        <w:tc>
          <w:tcPr>
            <w:tcW w:w="1552" w:type="dxa"/>
            <w:tcBorders>
              <w:top w:val="single" w:color="auto" w:sz="4" w:space="0"/>
              <w:left w:val="single" w:color="auto" w:sz="4" w:space="0"/>
              <w:bottom w:val="single" w:color="auto" w:sz="4" w:space="0"/>
              <w:right w:val="single" w:color="auto" w:sz="4" w:space="0"/>
            </w:tcBorders>
          </w:tcPr>
          <w:p w14:paraId="7C8B0A30">
            <w:pPr>
              <w:spacing w:line="360" w:lineRule="auto"/>
              <w:rPr>
                <w:rFonts w:hint="eastAsia" w:ascii="宋体" w:hAnsi="宋体" w:cs="宋体"/>
                <w:color w:val="auto"/>
                <w:szCs w:val="24"/>
                <w:highlight w:val="none"/>
              </w:rPr>
            </w:pPr>
          </w:p>
        </w:tc>
        <w:tc>
          <w:tcPr>
            <w:tcW w:w="706" w:type="dxa"/>
            <w:tcBorders>
              <w:top w:val="single" w:color="auto" w:sz="4" w:space="0"/>
              <w:left w:val="single" w:color="auto" w:sz="4" w:space="0"/>
              <w:bottom w:val="single" w:color="auto" w:sz="4" w:space="0"/>
              <w:right w:val="single" w:color="auto" w:sz="4" w:space="0"/>
            </w:tcBorders>
          </w:tcPr>
          <w:p w14:paraId="4ACDFC4C">
            <w:pPr>
              <w:spacing w:line="360" w:lineRule="auto"/>
              <w:rPr>
                <w:rFonts w:hint="eastAsia" w:ascii="宋体" w:hAnsi="宋体" w:cs="宋体"/>
                <w:color w:val="auto"/>
                <w:szCs w:val="24"/>
                <w:highlight w:val="none"/>
              </w:rPr>
            </w:pPr>
          </w:p>
        </w:tc>
        <w:tc>
          <w:tcPr>
            <w:tcW w:w="892" w:type="dxa"/>
            <w:tcBorders>
              <w:top w:val="single" w:color="auto" w:sz="4" w:space="0"/>
              <w:left w:val="single" w:color="auto" w:sz="4" w:space="0"/>
              <w:bottom w:val="single" w:color="auto" w:sz="4" w:space="0"/>
              <w:right w:val="single" w:color="auto" w:sz="4" w:space="0"/>
            </w:tcBorders>
          </w:tcPr>
          <w:p w14:paraId="5AA6EEC6">
            <w:pPr>
              <w:spacing w:line="360" w:lineRule="auto"/>
              <w:rPr>
                <w:rFonts w:hint="eastAsia" w:ascii="宋体" w:hAnsi="宋体" w:cs="宋体"/>
                <w:color w:val="auto"/>
                <w:szCs w:val="24"/>
                <w:highlight w:val="none"/>
              </w:rPr>
            </w:pPr>
          </w:p>
        </w:tc>
        <w:tc>
          <w:tcPr>
            <w:tcW w:w="1189" w:type="dxa"/>
            <w:tcBorders>
              <w:top w:val="single" w:color="auto" w:sz="4" w:space="0"/>
              <w:left w:val="single" w:color="auto" w:sz="4" w:space="0"/>
              <w:bottom w:val="single" w:color="auto" w:sz="4" w:space="0"/>
              <w:right w:val="single" w:color="auto" w:sz="4" w:space="0"/>
            </w:tcBorders>
          </w:tcPr>
          <w:p w14:paraId="0FF2481B">
            <w:pPr>
              <w:spacing w:line="360" w:lineRule="auto"/>
              <w:rPr>
                <w:rFonts w:hint="eastAsia" w:ascii="宋体" w:hAnsi="宋体" w:cs="宋体"/>
                <w:color w:val="auto"/>
                <w:szCs w:val="24"/>
                <w:highlight w:val="none"/>
              </w:rPr>
            </w:pPr>
          </w:p>
        </w:tc>
        <w:tc>
          <w:tcPr>
            <w:tcW w:w="1040" w:type="dxa"/>
            <w:tcBorders>
              <w:top w:val="single" w:color="auto" w:sz="4" w:space="0"/>
              <w:left w:val="single" w:color="auto" w:sz="4" w:space="0"/>
              <w:bottom w:val="single" w:color="auto" w:sz="4" w:space="0"/>
              <w:right w:val="single" w:color="auto" w:sz="4" w:space="0"/>
            </w:tcBorders>
          </w:tcPr>
          <w:p w14:paraId="175E1905">
            <w:pPr>
              <w:spacing w:line="360" w:lineRule="auto"/>
              <w:rPr>
                <w:rFonts w:hint="eastAsia" w:ascii="宋体" w:hAnsi="宋体" w:cs="宋体"/>
                <w:color w:val="auto"/>
                <w:szCs w:val="24"/>
                <w:highlight w:val="none"/>
              </w:rPr>
            </w:pPr>
          </w:p>
        </w:tc>
        <w:tc>
          <w:tcPr>
            <w:tcW w:w="1628" w:type="dxa"/>
            <w:tcBorders>
              <w:top w:val="single" w:color="auto" w:sz="4" w:space="0"/>
              <w:left w:val="single" w:color="auto" w:sz="4" w:space="0"/>
              <w:bottom w:val="single" w:color="auto" w:sz="4" w:space="0"/>
            </w:tcBorders>
          </w:tcPr>
          <w:p w14:paraId="30A37501">
            <w:pPr>
              <w:spacing w:line="360" w:lineRule="auto"/>
              <w:rPr>
                <w:rFonts w:hint="eastAsia" w:ascii="宋体" w:hAnsi="宋体" w:cs="宋体"/>
                <w:color w:val="auto"/>
                <w:szCs w:val="24"/>
                <w:highlight w:val="none"/>
              </w:rPr>
            </w:pPr>
          </w:p>
        </w:tc>
      </w:tr>
      <w:tr w14:paraId="29392F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9175" w:type="dxa"/>
            <w:gridSpan w:val="8"/>
            <w:tcBorders>
              <w:top w:val="single" w:color="auto" w:sz="4" w:space="0"/>
              <w:bottom w:val="single" w:color="auto" w:sz="12" w:space="0"/>
            </w:tcBorders>
          </w:tcPr>
          <w:p w14:paraId="1A02B881">
            <w:pPr>
              <w:spacing w:line="360" w:lineRule="auto"/>
              <w:rPr>
                <w:rFonts w:hint="eastAsia" w:ascii="宋体" w:hAnsi="宋体" w:cs="宋体"/>
                <w:color w:val="auto"/>
                <w:szCs w:val="24"/>
                <w:highlight w:val="none"/>
              </w:rPr>
            </w:pPr>
            <w:r>
              <w:rPr>
                <w:rFonts w:hint="eastAsia" w:ascii="宋体" w:hAnsi="宋体" w:cs="宋体"/>
                <w:color w:val="auto"/>
                <w:szCs w:val="24"/>
                <w:highlight w:val="none"/>
              </w:rPr>
              <w:t>合计 大写             小写￥.00元</w:t>
            </w:r>
          </w:p>
        </w:tc>
      </w:tr>
    </w:tbl>
    <w:p w14:paraId="7055B530">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第二条 合同价款</w:t>
      </w:r>
    </w:p>
    <w:p w14:paraId="0F64DE4A">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1.合同总价：人民币（大写）</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 xml:space="preserve"> 元，（￥</w:t>
      </w:r>
      <w:r>
        <w:rPr>
          <w:rFonts w:hint="eastAsia" w:ascii="宋体" w:hAnsi="宋体" w:cs="宋体"/>
          <w:color w:val="auto"/>
          <w:szCs w:val="24"/>
          <w:highlight w:val="none"/>
          <w:u w:val="single"/>
        </w:rPr>
        <w:t xml:space="preserve">           </w:t>
      </w:r>
      <w:r>
        <w:rPr>
          <w:rFonts w:hint="eastAsia" w:ascii="宋体" w:hAnsi="宋体" w:cs="宋体"/>
          <w:color w:val="auto"/>
          <w:szCs w:val="24"/>
          <w:highlight w:val="none"/>
        </w:rPr>
        <w:t xml:space="preserve"> ）。</w:t>
      </w:r>
    </w:p>
    <w:p w14:paraId="73A98DB8">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2.本合同总价是货物（产品）设计、材料、制造、包装、运输、安装、调试、检测、验收合格交付使用之前及保修期内保修服务与备用物件等其他有关各项的含税费用。</w:t>
      </w:r>
    </w:p>
    <w:p w14:paraId="2D7AC788">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3.本合同总价还包含乙方应当提供的伴随服务和售后服务费用。</w:t>
      </w:r>
    </w:p>
    <w:p w14:paraId="3DD74934">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4.本合同执行期间合同总价不变，甲方无须另向乙方支付本合同规定之外的其他任何费用。</w:t>
      </w:r>
    </w:p>
    <w:p w14:paraId="34F54E23">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第三条 货款支付</w:t>
      </w:r>
    </w:p>
    <w:p w14:paraId="4E1B193B">
      <w:pPr>
        <w:pStyle w:val="8"/>
        <w:autoSpaceDE w:val="0"/>
        <w:autoSpaceDN w:val="0"/>
        <w:spacing w:line="360" w:lineRule="auto"/>
        <w:ind w:firstLine="480"/>
        <w:rPr>
          <w:rFonts w:hint="eastAsia" w:ascii="宋体" w:hAnsi="宋体"/>
          <w:b/>
          <w:bCs/>
          <w:color w:val="auto"/>
          <w:szCs w:val="24"/>
          <w:highlight w:val="none"/>
          <w:lang w:val="zh-CN"/>
        </w:rPr>
      </w:pPr>
      <w:r>
        <w:rPr>
          <w:rFonts w:hint="eastAsia" w:ascii="宋体" w:hAnsi="宋体"/>
          <w:color w:val="auto"/>
          <w:szCs w:val="24"/>
          <w:highlight w:val="none"/>
        </w:rPr>
        <w:t>1、产品按下列比例支付价款：</w:t>
      </w:r>
    </w:p>
    <w:p w14:paraId="451E6D56">
      <w:pPr>
        <w:pStyle w:val="8"/>
        <w:autoSpaceDE w:val="0"/>
        <w:autoSpaceDN w:val="0"/>
        <w:spacing w:line="360" w:lineRule="auto"/>
        <w:ind w:firstLine="480"/>
        <w:rPr>
          <w:rFonts w:hint="eastAsia" w:ascii="宋体" w:hAnsi="宋体"/>
          <w:b/>
          <w:bCs/>
          <w:color w:val="auto"/>
          <w:szCs w:val="24"/>
          <w:highlight w:val="none"/>
        </w:rPr>
      </w:pPr>
      <w:r>
        <w:rPr>
          <w:rFonts w:hint="eastAsia" w:ascii="宋体" w:hAnsi="宋体"/>
          <w:color w:val="auto"/>
          <w:szCs w:val="24"/>
          <w:highlight w:val="none"/>
        </w:rPr>
        <w:t>货到并</w:t>
      </w:r>
      <w:r>
        <w:rPr>
          <w:rFonts w:hint="eastAsia" w:ascii="宋体" w:hAnsi="宋体"/>
          <w:color w:val="auto"/>
          <w:szCs w:val="24"/>
          <w:highlight w:val="none"/>
          <w:lang w:val="zh-CN"/>
        </w:rPr>
        <w:t>最终验收后</w:t>
      </w:r>
      <w:r>
        <w:rPr>
          <w:rFonts w:hint="eastAsia" w:ascii="宋体" w:hAnsi="宋体"/>
          <w:color w:val="auto"/>
          <w:szCs w:val="24"/>
          <w:highlight w:val="none"/>
        </w:rPr>
        <w:t>，</w:t>
      </w:r>
      <w:r>
        <w:rPr>
          <w:rFonts w:hint="eastAsia" w:ascii="宋体" w:hAnsi="宋体"/>
          <w:b/>
          <w:bCs/>
          <w:color w:val="auto"/>
          <w:szCs w:val="24"/>
          <w:highlight w:val="none"/>
          <w:lang w:val="zh-CN"/>
        </w:rPr>
        <w:t>甲方依据本项目审计机关审计结果向乙方支付货款；</w:t>
      </w:r>
    </w:p>
    <w:p w14:paraId="3BFD00A7">
      <w:pPr>
        <w:pStyle w:val="8"/>
        <w:autoSpaceDE w:val="0"/>
        <w:autoSpaceDN w:val="0"/>
        <w:spacing w:line="360" w:lineRule="auto"/>
        <w:ind w:firstLine="480"/>
        <w:rPr>
          <w:rFonts w:hint="eastAsia" w:ascii="宋体" w:hAnsi="宋体"/>
          <w:color w:val="auto"/>
          <w:szCs w:val="24"/>
          <w:highlight w:val="none"/>
          <w:lang w:val="zh-CN"/>
        </w:rPr>
      </w:pPr>
      <w:r>
        <w:rPr>
          <w:rFonts w:hint="eastAsia" w:ascii="宋体" w:hAnsi="宋体"/>
          <w:color w:val="auto"/>
          <w:szCs w:val="24"/>
          <w:highlight w:val="none"/>
          <w:lang w:val="zh-CN"/>
        </w:rPr>
        <w:t>2、乙方须向甲方开具合法有效的完税发票，甲方依据审计结果进行支付结算。</w:t>
      </w:r>
    </w:p>
    <w:p w14:paraId="71F57D9F">
      <w:pPr>
        <w:pStyle w:val="8"/>
        <w:autoSpaceDE w:val="0"/>
        <w:autoSpaceDN w:val="0"/>
        <w:spacing w:line="360" w:lineRule="auto"/>
        <w:ind w:firstLine="480"/>
        <w:rPr>
          <w:rFonts w:hint="eastAsia" w:ascii="宋体" w:hAnsi="宋体"/>
          <w:color w:val="auto"/>
          <w:szCs w:val="24"/>
          <w:highlight w:val="none"/>
          <w:lang w:val="zh-CN"/>
        </w:rPr>
      </w:pPr>
      <w:r>
        <w:rPr>
          <w:rFonts w:hint="eastAsia" w:ascii="宋体" w:hAnsi="宋体"/>
          <w:color w:val="auto"/>
          <w:szCs w:val="24"/>
          <w:highlight w:val="none"/>
          <w:lang w:val="zh-CN"/>
        </w:rPr>
        <w:t>3、结算方式：银行转账。</w:t>
      </w:r>
    </w:p>
    <w:p w14:paraId="0E2C4825">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第四条 交货时间与地点</w:t>
      </w:r>
    </w:p>
    <w:p w14:paraId="5F7ECE01">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乙方在合同签订生效之日起，按甲方指定时间、地点交货。</w:t>
      </w:r>
    </w:p>
    <w:p w14:paraId="17BE848B">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1.交货时间（期限）：自合同签订之日起30个日历日内完成所有设备的安装、调试等工作。</w:t>
      </w:r>
    </w:p>
    <w:p w14:paraId="619D024F">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2.交货地点：甲方指定地点</w:t>
      </w:r>
    </w:p>
    <w:p w14:paraId="7D4353D0">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第五条 质量保证</w:t>
      </w:r>
    </w:p>
    <w:p w14:paraId="46E89385">
      <w:pPr>
        <w:pStyle w:val="7"/>
        <w:spacing w:line="360" w:lineRule="auto"/>
        <w:ind w:firstLine="600" w:firstLineChars="250"/>
        <w:rPr>
          <w:rFonts w:hint="eastAsia" w:ascii="宋体" w:hAnsi="宋体"/>
          <w:color w:val="auto"/>
          <w:szCs w:val="24"/>
          <w:highlight w:val="none"/>
        </w:rPr>
      </w:pPr>
      <w:r>
        <w:rPr>
          <w:rFonts w:hint="eastAsia" w:ascii="宋体" w:hAnsi="宋体"/>
          <w:color w:val="auto"/>
          <w:szCs w:val="24"/>
          <w:highlight w:val="none"/>
        </w:rPr>
        <w:t>1.乙方须提供全新的、未使用过的合格正品货物（含零部件、配件等），完全符合合同规定的质量、规格和性能的要求。</w:t>
      </w:r>
    </w:p>
    <w:p w14:paraId="34E5AD60">
      <w:pPr>
        <w:pStyle w:val="7"/>
        <w:spacing w:line="360" w:lineRule="auto"/>
        <w:ind w:firstLine="600" w:firstLineChars="250"/>
        <w:rPr>
          <w:rFonts w:hint="eastAsia" w:ascii="宋体" w:hAnsi="宋体"/>
          <w:color w:val="auto"/>
          <w:szCs w:val="24"/>
          <w:highlight w:val="none"/>
        </w:rPr>
      </w:pPr>
      <w:r>
        <w:rPr>
          <w:rFonts w:hint="eastAsia" w:ascii="宋体" w:hAnsi="宋体"/>
          <w:color w:val="auto"/>
          <w:szCs w:val="24"/>
          <w:highlight w:val="none"/>
        </w:rPr>
        <w:t>2.乙方提供的节能和环保产品必须是列入节能、环保标志产品品目清单中的产品。</w:t>
      </w:r>
    </w:p>
    <w:p w14:paraId="1B2AF162">
      <w:pPr>
        <w:pStyle w:val="7"/>
        <w:spacing w:line="360" w:lineRule="auto"/>
        <w:ind w:firstLine="600" w:firstLineChars="250"/>
        <w:rPr>
          <w:rFonts w:hint="eastAsia" w:ascii="宋体" w:hAnsi="宋体"/>
          <w:color w:val="auto"/>
          <w:szCs w:val="24"/>
          <w:highlight w:val="none"/>
        </w:rPr>
      </w:pPr>
      <w:r>
        <w:rPr>
          <w:rFonts w:hint="eastAsia" w:ascii="宋体" w:hAnsi="宋体"/>
          <w:color w:val="auto"/>
          <w:szCs w:val="24"/>
          <w:highlight w:val="none"/>
        </w:rPr>
        <w:t>3.质量标准按照最新颁布的国家标准、行业标准或制造商企业标准确定，上述标准不一致的，以严格标准为准。</w:t>
      </w:r>
    </w:p>
    <w:p w14:paraId="3E2F2A79">
      <w:pPr>
        <w:pStyle w:val="7"/>
        <w:spacing w:line="360" w:lineRule="auto"/>
        <w:ind w:firstLine="600" w:firstLineChars="250"/>
        <w:rPr>
          <w:rFonts w:hint="eastAsia" w:ascii="宋体" w:hAnsi="宋体"/>
          <w:color w:val="auto"/>
          <w:szCs w:val="24"/>
          <w:highlight w:val="none"/>
        </w:rPr>
      </w:pPr>
      <w:r>
        <w:rPr>
          <w:rFonts w:hint="eastAsia" w:ascii="宋体" w:hAnsi="宋体"/>
          <w:color w:val="auto"/>
          <w:szCs w:val="24"/>
          <w:highlight w:val="none"/>
        </w:rPr>
        <w:t>4.乙方所提供货物还应符合国家和陕西省有关安全、环保、节能之规定，“3C”认证的货物（产品）应加贴“3C”认证标志。</w:t>
      </w:r>
    </w:p>
    <w:p w14:paraId="628AFA5C">
      <w:pPr>
        <w:pStyle w:val="7"/>
        <w:spacing w:line="360" w:lineRule="auto"/>
        <w:ind w:firstLine="600" w:firstLineChars="250"/>
        <w:rPr>
          <w:rFonts w:hint="eastAsia" w:ascii="宋体" w:hAnsi="宋体"/>
          <w:color w:val="auto"/>
          <w:szCs w:val="24"/>
          <w:highlight w:val="none"/>
        </w:rPr>
      </w:pPr>
      <w:r>
        <w:rPr>
          <w:rFonts w:hint="eastAsia" w:ascii="宋体" w:hAnsi="宋体"/>
          <w:color w:val="auto"/>
          <w:szCs w:val="24"/>
          <w:highlight w:val="none"/>
        </w:rPr>
        <w:t>5.货物制造质量出现问题，乙方应负责三包（包修、包换、包退），费用由乙方负担，甲方有权到乙方生产场地检查货物质量和生产进度。</w:t>
      </w:r>
    </w:p>
    <w:p w14:paraId="2DC1FA99">
      <w:pPr>
        <w:pStyle w:val="7"/>
        <w:spacing w:line="360" w:lineRule="auto"/>
        <w:ind w:firstLine="600" w:firstLineChars="250"/>
        <w:rPr>
          <w:rFonts w:ascii="宋体" w:hAnsi="宋体"/>
          <w:color w:val="auto"/>
          <w:szCs w:val="24"/>
          <w:highlight w:val="none"/>
        </w:rPr>
      </w:pPr>
      <w:r>
        <w:rPr>
          <w:rFonts w:hint="eastAsia" w:ascii="宋体" w:hAnsi="宋体"/>
          <w:color w:val="auto"/>
          <w:szCs w:val="24"/>
          <w:highlight w:val="none"/>
        </w:rPr>
        <w:t>6. 货物（产品）的质保期不少于</w:t>
      </w:r>
      <w:r>
        <w:rPr>
          <w:rFonts w:hint="eastAsia" w:ascii="宋体" w:hAnsi="宋体"/>
          <w:color w:val="auto"/>
          <w:szCs w:val="24"/>
          <w:highlight w:val="none"/>
          <w:u w:val="single"/>
        </w:rPr>
        <w:t>1年</w:t>
      </w:r>
      <w:r>
        <w:rPr>
          <w:rFonts w:hint="eastAsia" w:ascii="宋体" w:hAnsi="宋体"/>
          <w:color w:val="auto"/>
          <w:szCs w:val="24"/>
          <w:highlight w:val="none"/>
        </w:rPr>
        <w:t>，具体以中标人的投标文件承诺为准。</w:t>
      </w:r>
    </w:p>
    <w:p w14:paraId="492F0D16">
      <w:pPr>
        <w:pStyle w:val="7"/>
        <w:spacing w:line="360" w:lineRule="auto"/>
        <w:ind w:firstLine="600" w:firstLineChars="250"/>
        <w:rPr>
          <w:rFonts w:hint="eastAsia" w:ascii="宋体" w:hAnsi="宋体"/>
          <w:color w:val="auto"/>
          <w:szCs w:val="24"/>
          <w:highlight w:val="none"/>
        </w:rPr>
      </w:pPr>
      <w:r>
        <w:rPr>
          <w:rFonts w:hint="eastAsia" w:ascii="宋体" w:hAnsi="宋体"/>
          <w:color w:val="auto"/>
          <w:szCs w:val="24"/>
          <w:highlight w:val="none"/>
        </w:rPr>
        <w:t>7.自验收合格之日起连续质保12个自然。</w:t>
      </w:r>
    </w:p>
    <w:p w14:paraId="280DF0B7">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第六条 权利保证</w:t>
      </w:r>
    </w:p>
    <w:p w14:paraId="5DC9406E">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1.乙方保证对其出售的货物享有合法的权利。</w:t>
      </w:r>
    </w:p>
    <w:p w14:paraId="36C77043">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2.乙方保证对其出售的货物上不存在任何未曾向甲方透露的担保物权，如抵押权、质押权、留置权。</w:t>
      </w:r>
    </w:p>
    <w:p w14:paraId="7598355A">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3.乙方保证对其出售的货物或其任何一部分没有侵犯第三方的专利权、版权、商标权或其他权利。</w:t>
      </w:r>
    </w:p>
    <w:p w14:paraId="76FDAE58">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4.如甲方在使用该货物构成上述侵权的，则由乙方承担全部责任。</w:t>
      </w:r>
    </w:p>
    <w:p w14:paraId="07B1C42F">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 xml:space="preserve">第七条 包装要求与运输方式   </w:t>
      </w:r>
    </w:p>
    <w:p w14:paraId="3DB2E4EA">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1.除合同另有规定外，乙方提供的全部货物均应按标准保护措施进行包装，该包装应适应于远距离运输、防潮、防震、防锈和防野蛮装卸，以确保货物安全运抵指定地点。</w:t>
      </w:r>
    </w:p>
    <w:p w14:paraId="270618B2">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2.每一包装单元应附详细的装箱单和质量合格证。</w:t>
      </w:r>
    </w:p>
    <w:p w14:paraId="76CD8198">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3.货物（产品）运输方式：</w:t>
      </w:r>
      <w:r>
        <w:rPr>
          <w:rFonts w:hint="eastAsia" w:ascii="宋体" w:hAnsi="宋体"/>
          <w:color w:val="auto"/>
          <w:szCs w:val="24"/>
          <w:highlight w:val="none"/>
          <w:u w:val="single"/>
        </w:rPr>
        <w:t xml:space="preserve">             </w:t>
      </w:r>
      <w:r>
        <w:rPr>
          <w:rFonts w:hint="eastAsia" w:ascii="宋体" w:hAnsi="宋体"/>
          <w:color w:val="auto"/>
          <w:szCs w:val="24"/>
          <w:highlight w:val="none"/>
        </w:rPr>
        <w:t>。</w:t>
      </w:r>
    </w:p>
    <w:p w14:paraId="685990C4">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4.乙方负责货物（产品）运输，货物运输的合理损耗及计算方法</w:t>
      </w:r>
      <w:r>
        <w:rPr>
          <w:rFonts w:hint="eastAsia" w:ascii="宋体" w:hAnsi="宋体"/>
          <w:color w:val="auto"/>
          <w:szCs w:val="24"/>
          <w:highlight w:val="none"/>
          <w:u w:val="single"/>
        </w:rPr>
        <w:t xml:space="preserve">    </w:t>
      </w:r>
      <w:r>
        <w:rPr>
          <w:rFonts w:hint="eastAsia" w:ascii="宋体" w:hAnsi="宋体"/>
          <w:color w:val="auto"/>
          <w:szCs w:val="24"/>
          <w:highlight w:val="none"/>
        </w:rPr>
        <w:t>。</w:t>
      </w:r>
    </w:p>
    <w:p w14:paraId="13493572">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第八条 货物验收</w:t>
      </w:r>
    </w:p>
    <w:p w14:paraId="746D9BD3">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1．货物终验：调试运行稳定7日内完成最终验收；</w:t>
      </w:r>
    </w:p>
    <w:p w14:paraId="14D8AF44">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2.质量验收合格，双方签署质量验收报告。</w:t>
      </w:r>
    </w:p>
    <w:p w14:paraId="75928ACF">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2.货物验收依据：</w:t>
      </w:r>
    </w:p>
    <w:p w14:paraId="3D8D4DAE">
      <w:pPr>
        <w:pStyle w:val="4"/>
        <w:spacing w:line="360" w:lineRule="auto"/>
        <w:ind w:firstLine="480"/>
        <w:rPr>
          <w:rFonts w:hint="eastAsia" w:ascii="宋体" w:hAnsi="宋体" w:cs="宋体"/>
          <w:color w:val="auto"/>
          <w:highlight w:val="none"/>
        </w:rPr>
      </w:pPr>
      <w:r>
        <w:rPr>
          <w:rFonts w:hint="eastAsia" w:ascii="宋体" w:hAnsi="宋体" w:cs="宋体"/>
          <w:color w:val="auto"/>
          <w:highlight w:val="none"/>
        </w:rPr>
        <w:t>（1）招标文件；</w:t>
      </w:r>
    </w:p>
    <w:p w14:paraId="6B9B1704">
      <w:pPr>
        <w:pStyle w:val="4"/>
        <w:spacing w:line="360" w:lineRule="auto"/>
        <w:ind w:firstLine="480"/>
        <w:rPr>
          <w:rFonts w:hint="eastAsia" w:ascii="宋体" w:hAnsi="宋体" w:cs="宋体"/>
          <w:color w:val="auto"/>
          <w:highlight w:val="none"/>
        </w:rPr>
      </w:pPr>
      <w:r>
        <w:rPr>
          <w:rFonts w:hint="eastAsia" w:ascii="宋体" w:hAnsi="宋体" w:cs="宋体"/>
          <w:color w:val="auto"/>
          <w:highlight w:val="none"/>
        </w:rPr>
        <w:t>（2）投标文件；</w:t>
      </w:r>
    </w:p>
    <w:p w14:paraId="1EE7E8F4">
      <w:pPr>
        <w:pStyle w:val="4"/>
        <w:spacing w:line="360" w:lineRule="auto"/>
        <w:ind w:firstLine="480"/>
        <w:rPr>
          <w:rFonts w:hint="eastAsia" w:ascii="宋体" w:hAnsi="宋体" w:cs="宋体"/>
          <w:color w:val="auto"/>
          <w:highlight w:val="none"/>
        </w:rPr>
      </w:pPr>
      <w:r>
        <w:rPr>
          <w:rFonts w:hint="eastAsia" w:ascii="宋体" w:hAnsi="宋体" w:cs="宋体"/>
          <w:color w:val="auto"/>
          <w:highlight w:val="none"/>
        </w:rPr>
        <w:t>（3）采购合同及补充协议；</w:t>
      </w:r>
    </w:p>
    <w:p w14:paraId="01B5A38E">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（4）质检部门抽样检查货物（产品）合格的检测报告。</w:t>
      </w:r>
    </w:p>
    <w:p w14:paraId="51FB4B88">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3.货物验收时发现问题的处理办法：</w:t>
      </w:r>
    </w:p>
    <w:p w14:paraId="095CE8B2">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（1）乙方提供不符合招标文件和本合同规定的货物（产品），甲方有权拒绝接受；</w:t>
      </w:r>
    </w:p>
    <w:p w14:paraId="1F1293A5">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7B08342">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（3）如货物经乙方</w:t>
      </w:r>
      <w:r>
        <w:rPr>
          <w:rFonts w:hint="eastAsia" w:ascii="宋体" w:hAnsi="宋体"/>
          <w:color w:val="auto"/>
          <w:szCs w:val="24"/>
          <w:highlight w:val="none"/>
          <w:u w:val="single"/>
        </w:rPr>
        <w:t xml:space="preserve">  2 </w:t>
      </w:r>
      <w:r>
        <w:rPr>
          <w:rFonts w:hint="eastAsia" w:ascii="宋体" w:hAnsi="宋体"/>
          <w:color w:val="auto"/>
          <w:szCs w:val="24"/>
          <w:highlight w:val="none"/>
        </w:rPr>
        <w:t>次维修仍不能达到合同约定的质量标准，甲方有权退货，并视作乙方不能交付货物而须支付违约赔偿金给甲方，甲方还可依法追究乙方的违约责任</w:t>
      </w:r>
    </w:p>
    <w:p w14:paraId="537211AC">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（4）乙方不能完整交付货物及本条第一款规定的单证和工具的，必须负责补齐，否则视为未按合同约定交货；</w:t>
      </w:r>
    </w:p>
    <w:p w14:paraId="7EDBAE66">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第九条 售后服务</w:t>
      </w:r>
    </w:p>
    <w:p w14:paraId="70BA2B58">
      <w:pPr>
        <w:pStyle w:val="7"/>
        <w:numPr>
          <w:ilvl w:val="0"/>
          <w:numId w:val="1"/>
        </w:numPr>
        <w:spacing w:line="360" w:lineRule="auto"/>
        <w:ind w:firstLineChars="0"/>
        <w:rPr>
          <w:rFonts w:ascii="宋体" w:hAnsi="宋体"/>
          <w:color w:val="auto"/>
          <w:kern w:val="0"/>
          <w:szCs w:val="24"/>
          <w:highlight w:val="none"/>
        </w:rPr>
      </w:pPr>
      <w:r>
        <w:rPr>
          <w:rFonts w:hint="eastAsia" w:ascii="宋体" w:hAnsi="宋体"/>
          <w:color w:val="auto"/>
          <w:kern w:val="0"/>
          <w:szCs w:val="24"/>
          <w:highlight w:val="none"/>
        </w:rPr>
        <w:t>乙方应按照国家有关法律法规和“三包”规定以及招标文件要求和投标文件的“服务承诺”提供服务。</w:t>
      </w:r>
    </w:p>
    <w:p w14:paraId="671ADBEF">
      <w:pPr>
        <w:pStyle w:val="7"/>
        <w:numPr>
          <w:ilvl w:val="0"/>
          <w:numId w:val="1"/>
        </w:numPr>
        <w:spacing w:line="360" w:lineRule="auto"/>
        <w:ind w:firstLineChars="0"/>
        <w:rPr>
          <w:rFonts w:hint="eastAsia" w:ascii="宋体" w:hAnsi="宋体"/>
          <w:color w:val="auto"/>
          <w:kern w:val="0"/>
          <w:szCs w:val="24"/>
          <w:highlight w:val="none"/>
        </w:rPr>
      </w:pPr>
      <w:r>
        <w:rPr>
          <w:rFonts w:hint="eastAsia" w:ascii="宋体" w:hAnsi="宋体"/>
          <w:color w:val="auto"/>
          <w:kern w:val="0"/>
          <w:szCs w:val="24"/>
          <w:highlight w:val="none"/>
        </w:rPr>
        <w:t>合同质保期过后，发生故障时，乙方为甲方提供2年内3小时内到场免费维修、调试服务，更换硬件除外。</w:t>
      </w:r>
    </w:p>
    <w:p w14:paraId="1B187185">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第十条 货款支付</w:t>
      </w:r>
    </w:p>
    <w:p w14:paraId="4782CDEA">
      <w:pPr>
        <w:widowControl/>
        <w:spacing w:line="360" w:lineRule="auto"/>
        <w:ind w:firstLine="480" w:firstLineChars="200"/>
        <w:jc w:val="left"/>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1.甲、乙双方在签订本合同之后，甲方在一年内审结束后根据审计结果金额向乙方一次性支付全款。 </w:t>
      </w:r>
    </w:p>
    <w:p w14:paraId="272E285C">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第十一条 违约责任</w:t>
      </w:r>
    </w:p>
    <w:p w14:paraId="38246DE1">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1.甲方违约责任</w:t>
      </w:r>
    </w:p>
    <w:p w14:paraId="27973325">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（1）甲方无正当理由拒收货物的，甲方应偿付合同总价</w:t>
      </w:r>
      <w:r>
        <w:rPr>
          <w:rFonts w:hint="eastAsia" w:ascii="宋体" w:hAnsi="宋体"/>
          <w:color w:val="auto"/>
          <w:szCs w:val="24"/>
          <w:highlight w:val="none"/>
          <w:u w:val="single"/>
        </w:rPr>
        <w:t xml:space="preserve"> </w:t>
      </w:r>
      <w:r>
        <w:rPr>
          <w:rFonts w:hint="eastAsia" w:ascii="宋体" w:hAnsi="宋体"/>
          <w:color w:val="auto"/>
          <w:szCs w:val="24"/>
          <w:highlight w:val="none"/>
        </w:rPr>
        <w:t xml:space="preserve"> %的违约金；</w:t>
      </w:r>
    </w:p>
    <w:p w14:paraId="1B3572B8">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（2）甲方逾期支付货款的，除应及时付足货款外，应向乙方每天支付欠款总额</w:t>
      </w:r>
      <w:r>
        <w:rPr>
          <w:rFonts w:hint="eastAsia" w:ascii="宋体" w:hAnsi="宋体"/>
          <w:color w:val="auto"/>
          <w:szCs w:val="24"/>
          <w:highlight w:val="none"/>
          <w:u w:val="single"/>
        </w:rPr>
        <w:t xml:space="preserve">  </w:t>
      </w:r>
      <w:r>
        <w:rPr>
          <w:rFonts w:hint="eastAsia" w:ascii="宋体" w:hAnsi="宋体"/>
          <w:color w:val="auto"/>
          <w:szCs w:val="24"/>
          <w:highlight w:val="none"/>
        </w:rPr>
        <w:t xml:space="preserve"> ‰的滞纳金；但累计滞纳金总额不超过欠款总额的</w:t>
      </w:r>
      <w:r>
        <w:rPr>
          <w:rFonts w:hint="eastAsia" w:ascii="宋体" w:hAnsi="宋体"/>
          <w:color w:val="auto"/>
          <w:szCs w:val="24"/>
          <w:highlight w:val="none"/>
          <w:u w:val="single"/>
        </w:rPr>
        <w:t xml:space="preserve">  </w:t>
      </w:r>
      <w:r>
        <w:rPr>
          <w:rFonts w:hint="eastAsia" w:ascii="宋体" w:hAnsi="宋体"/>
          <w:color w:val="auto"/>
          <w:szCs w:val="24"/>
          <w:highlight w:val="none"/>
        </w:rPr>
        <w:t>%。</w:t>
      </w:r>
    </w:p>
    <w:p w14:paraId="05617E00">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2.乙方违约责任</w:t>
      </w:r>
    </w:p>
    <w:p w14:paraId="170FC4AF">
      <w:pPr>
        <w:widowControl/>
        <w:spacing w:line="360" w:lineRule="auto"/>
        <w:ind w:firstLine="480" w:firstLineChars="200"/>
        <w:jc w:val="left"/>
        <w:rPr>
          <w:rFonts w:hint="eastAsia" w:ascii="宋体" w:hAnsi="宋体" w:cs="宋体"/>
          <w:color w:val="auto"/>
          <w:kern w:val="0"/>
          <w:szCs w:val="24"/>
          <w:highlight w:val="none"/>
        </w:rPr>
      </w:pPr>
      <w:r>
        <w:rPr>
          <w:rFonts w:hint="eastAsia" w:ascii="宋体" w:hAnsi="宋体" w:cs="宋体"/>
          <w:color w:val="auto"/>
          <w:kern w:val="0"/>
          <w:szCs w:val="24"/>
          <w:highlight w:val="none"/>
        </w:rPr>
        <w:t>（1）如乙方不能交付货物，甲方有权扣留全部履约保证金；同时乙方应向甲方支付合同总价</w:t>
      </w:r>
      <w:r>
        <w:rPr>
          <w:rFonts w:hint="eastAsia" w:ascii="宋体" w:hAnsi="宋体" w:cs="宋体"/>
          <w:color w:val="auto"/>
          <w:kern w:val="0"/>
          <w:szCs w:val="24"/>
          <w:highlight w:val="none"/>
          <w:u w:val="single"/>
        </w:rPr>
        <w:t xml:space="preserve">  </w:t>
      </w:r>
      <w:r>
        <w:rPr>
          <w:rFonts w:hint="eastAsia" w:ascii="宋体" w:hAnsi="宋体" w:cs="宋体"/>
          <w:color w:val="auto"/>
          <w:kern w:val="0"/>
          <w:szCs w:val="24"/>
          <w:highlight w:val="none"/>
        </w:rPr>
        <w:t>％的违约金；</w:t>
      </w:r>
    </w:p>
    <w:p w14:paraId="0358B55A">
      <w:pPr>
        <w:widowControl/>
        <w:spacing w:line="360" w:lineRule="auto"/>
        <w:ind w:firstLine="480" w:firstLineChars="200"/>
        <w:jc w:val="left"/>
        <w:rPr>
          <w:rFonts w:hint="eastAsia" w:ascii="宋体" w:hAnsi="宋体" w:cs="宋体"/>
          <w:color w:val="auto"/>
          <w:kern w:val="0"/>
          <w:szCs w:val="24"/>
          <w:highlight w:val="none"/>
        </w:rPr>
      </w:pPr>
      <w:r>
        <w:rPr>
          <w:rFonts w:hint="eastAsia" w:ascii="宋体" w:hAnsi="宋体" w:cs="宋体"/>
          <w:color w:val="auto"/>
          <w:kern w:val="0"/>
          <w:szCs w:val="24"/>
          <w:highlight w:val="none"/>
        </w:rPr>
        <w:t>（2）乙方逾期交付货物的，每逾期1天，乙方向甲方偿付逾期交货部分货款总额的</w:t>
      </w:r>
      <w:r>
        <w:rPr>
          <w:rFonts w:hint="eastAsia" w:ascii="宋体" w:hAnsi="宋体" w:cs="宋体"/>
          <w:color w:val="auto"/>
          <w:kern w:val="0"/>
          <w:szCs w:val="24"/>
          <w:highlight w:val="none"/>
          <w:u w:val="single"/>
        </w:rPr>
        <w:t xml:space="preserve">  </w:t>
      </w:r>
      <w:r>
        <w:rPr>
          <w:rFonts w:hint="eastAsia" w:ascii="宋体" w:hAnsi="宋体" w:cs="宋体"/>
          <w:color w:val="auto"/>
          <w:kern w:val="0"/>
          <w:szCs w:val="24"/>
          <w:highlight w:val="none"/>
        </w:rPr>
        <w:t>‰的滞纳金。如乙方逾期交货达___天，甲方有权解除合同，解除合同的通知自到达乙方时生效；</w:t>
      </w:r>
    </w:p>
    <w:p w14:paraId="150B3244">
      <w:pPr>
        <w:widowControl/>
        <w:spacing w:line="360" w:lineRule="auto"/>
        <w:ind w:firstLine="480" w:firstLineChars="200"/>
        <w:jc w:val="left"/>
        <w:rPr>
          <w:rFonts w:hint="eastAsia" w:ascii="宋体" w:hAnsi="宋体" w:cs="宋体"/>
          <w:color w:val="auto"/>
          <w:kern w:val="0"/>
          <w:szCs w:val="24"/>
          <w:highlight w:val="none"/>
        </w:rPr>
      </w:pPr>
      <w:r>
        <w:rPr>
          <w:rFonts w:hint="eastAsia" w:ascii="宋体" w:hAnsi="宋体" w:cs="宋体"/>
          <w:color w:val="auto"/>
          <w:kern w:val="0"/>
          <w:szCs w:val="24"/>
          <w:highlight w:val="none"/>
        </w:rPr>
        <w:t xml:space="preserve">（3）乙方所交付的货物品种、型号、规格不符合合同规定的，甲方有权拒收。甲方拒收的，乙方应向甲方支付货款总额 </w:t>
      </w:r>
      <w:r>
        <w:rPr>
          <w:rFonts w:hint="eastAsia" w:ascii="宋体" w:hAnsi="宋体" w:cs="宋体"/>
          <w:color w:val="auto"/>
          <w:kern w:val="0"/>
          <w:szCs w:val="24"/>
          <w:highlight w:val="none"/>
          <w:u w:val="single"/>
        </w:rPr>
        <w:t xml:space="preserve">  </w:t>
      </w:r>
      <w:r>
        <w:rPr>
          <w:rFonts w:hint="eastAsia" w:ascii="宋体" w:hAnsi="宋体" w:cs="宋体"/>
          <w:color w:val="auto"/>
          <w:kern w:val="0"/>
          <w:szCs w:val="24"/>
          <w:highlight w:val="none"/>
        </w:rPr>
        <w:t>%的违约金；</w:t>
      </w:r>
    </w:p>
    <w:p w14:paraId="2830ACF5">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auto"/>
          <w:szCs w:val="24"/>
          <w:highlight w:val="none"/>
          <w:u w:val="single"/>
        </w:rPr>
        <w:t xml:space="preserve">   </w:t>
      </w:r>
      <w:r>
        <w:rPr>
          <w:rFonts w:hint="eastAsia" w:ascii="宋体" w:hAnsi="宋体"/>
          <w:color w:val="auto"/>
          <w:szCs w:val="24"/>
          <w:highlight w:val="none"/>
        </w:rPr>
        <w:t>天内无条件更换合格的货物，如逾期不能更换合格的货物，甲方有权终止本合同，乙方应另向甲方支付货款总额的</w:t>
      </w:r>
      <w:r>
        <w:rPr>
          <w:rFonts w:hint="eastAsia" w:ascii="宋体" w:hAnsi="宋体"/>
          <w:color w:val="auto"/>
          <w:szCs w:val="24"/>
          <w:highlight w:val="none"/>
          <w:u w:val="single"/>
        </w:rPr>
        <w:t xml:space="preserve">   </w:t>
      </w:r>
      <w:r>
        <w:rPr>
          <w:rFonts w:hint="eastAsia" w:ascii="宋体" w:hAnsi="宋体"/>
          <w:color w:val="auto"/>
          <w:szCs w:val="24"/>
          <w:highlight w:val="none"/>
        </w:rPr>
        <w:t>%的违约金；</w:t>
      </w:r>
    </w:p>
    <w:p w14:paraId="0040BB6C">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1D02EE4A">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（6）乙方未按本合同第十条的规定向甲方交付履约保证金的，应按应交付履约保证金的</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rPr>
        <w:t>%向甲方支付违约金，该违约金的支付不影响乙方应承担的其他违约责任；</w:t>
      </w:r>
    </w:p>
    <w:p w14:paraId="4669BED3">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（7）乙方未按本合同的规定和“服务承诺”提供伴随服务/售后服务的，应按合同总价款的</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rPr>
        <w:t>%向甲方承担违约责任；</w:t>
      </w:r>
    </w:p>
    <w:p w14:paraId="76C6D4D3">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2A394475">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（9）乙方偿付的违约金不足以弥补甲方损失的，还应按甲方损失尚未弥补的部分，支付赔偿金给甲方。</w:t>
      </w:r>
    </w:p>
    <w:p w14:paraId="53A0FFD2">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第十二条 合同的变更和终止</w:t>
      </w:r>
    </w:p>
    <w:p w14:paraId="564EB420">
      <w:pPr>
        <w:widowControl/>
        <w:spacing w:line="360" w:lineRule="auto"/>
        <w:ind w:firstLine="480" w:firstLineChars="200"/>
        <w:jc w:val="left"/>
        <w:rPr>
          <w:rFonts w:hint="eastAsia" w:ascii="宋体" w:hAnsi="宋体" w:cs="宋体"/>
          <w:color w:val="auto"/>
          <w:kern w:val="0"/>
          <w:szCs w:val="24"/>
          <w:highlight w:val="none"/>
        </w:rPr>
      </w:pPr>
      <w:r>
        <w:rPr>
          <w:rFonts w:hint="eastAsia" w:ascii="宋体" w:hAnsi="宋体" w:cs="宋体"/>
          <w:color w:val="auto"/>
          <w:kern w:val="0"/>
          <w:szCs w:val="24"/>
          <w:highlight w:val="none"/>
        </w:rPr>
        <w:t>除《中华人民共和国政府采购法》第49条、第50条第二款规定的情形外，本合同一经签订，甲乙双方不得擅自变更、中止或终止合同。</w:t>
      </w:r>
    </w:p>
    <w:p w14:paraId="61AFA1DA">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第十三条 争议的解决</w:t>
      </w:r>
    </w:p>
    <w:p w14:paraId="1DCF564E">
      <w:pPr>
        <w:pStyle w:val="7"/>
        <w:spacing w:line="360" w:lineRule="auto"/>
        <w:ind w:firstLine="480"/>
        <w:rPr>
          <w:rFonts w:hint="eastAsia" w:ascii="宋体" w:hAnsi="宋体"/>
          <w:color w:val="auto"/>
          <w:szCs w:val="24"/>
          <w:highlight w:val="none"/>
        </w:rPr>
      </w:pPr>
      <w:r>
        <w:rPr>
          <w:rFonts w:hint="eastAsia" w:ascii="宋体" w:hAnsi="宋体"/>
          <w:color w:val="auto"/>
          <w:szCs w:val="24"/>
          <w:highlight w:val="none"/>
        </w:rPr>
        <w:t>1.因货物的质量问题发生争议，由质量技术监督部门或其指定的质量鉴定机构进行质量鉴定。货物符合标准的，鉴定费由甲方承担；货物不符合质量标准的，鉴定费由乙方承担。</w:t>
      </w:r>
    </w:p>
    <w:p w14:paraId="520A349E">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2.因履行本合同引起的或与本合同有关的争议，甲、乙双方应首先通过友好协商解决，如果协商不成，则采取以下第</w:t>
      </w:r>
      <w:r>
        <w:rPr>
          <w:rFonts w:hint="eastAsia" w:ascii="宋体" w:hAnsi="宋体"/>
          <w:color w:val="auto"/>
          <w:kern w:val="0"/>
          <w:szCs w:val="24"/>
          <w:highlight w:val="none"/>
          <w:u w:val="single"/>
        </w:rPr>
        <w:t>_2_</w:t>
      </w:r>
      <w:r>
        <w:rPr>
          <w:rFonts w:hint="eastAsia" w:ascii="宋体" w:hAnsi="宋体"/>
          <w:color w:val="auto"/>
          <w:kern w:val="0"/>
          <w:szCs w:val="24"/>
          <w:highlight w:val="none"/>
        </w:rPr>
        <w:t>种方式解决争议：</w:t>
      </w:r>
    </w:p>
    <w:p w14:paraId="544E565A">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（1）向甲方所在地有管辖权的人民法院提起诉讼；</w:t>
      </w:r>
    </w:p>
    <w:p w14:paraId="340D704C">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（2）向</w:t>
      </w:r>
      <w:r>
        <w:rPr>
          <w:rFonts w:hint="eastAsia" w:ascii="宋体" w:hAnsi="宋体"/>
          <w:color w:val="auto"/>
          <w:kern w:val="0"/>
          <w:szCs w:val="24"/>
          <w:highlight w:val="none"/>
          <w:u w:val="single"/>
        </w:rPr>
        <w:t>西安</w:t>
      </w:r>
      <w:r>
        <w:rPr>
          <w:rFonts w:hint="eastAsia" w:ascii="宋体" w:hAnsi="宋体"/>
          <w:color w:val="auto"/>
          <w:kern w:val="0"/>
          <w:szCs w:val="24"/>
          <w:highlight w:val="none"/>
        </w:rPr>
        <w:t>仲裁委员会按其仲裁规则申请仲裁。</w:t>
      </w:r>
    </w:p>
    <w:p w14:paraId="2344FCFC">
      <w:pPr>
        <w:pStyle w:val="7"/>
        <w:spacing w:line="360" w:lineRule="auto"/>
        <w:ind w:firstLine="480"/>
        <w:rPr>
          <w:rFonts w:hint="eastAsia" w:ascii="宋体" w:hAnsi="宋体"/>
          <w:color w:val="auto"/>
          <w:kern w:val="0"/>
          <w:szCs w:val="24"/>
          <w:highlight w:val="none"/>
        </w:rPr>
      </w:pPr>
      <w:r>
        <w:rPr>
          <w:rFonts w:hint="eastAsia" w:ascii="宋体" w:hAnsi="宋体"/>
          <w:color w:val="auto"/>
          <w:kern w:val="0"/>
          <w:szCs w:val="24"/>
          <w:highlight w:val="none"/>
        </w:rPr>
        <w:t>3.在仲裁期间，本合同应继续履行。</w:t>
      </w:r>
    </w:p>
    <w:p w14:paraId="50AFF969">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第十四条 合同文件</w:t>
      </w:r>
    </w:p>
    <w:p w14:paraId="0C9D7934">
      <w:pPr>
        <w:snapToGrid w:val="0"/>
        <w:spacing w:line="360" w:lineRule="auto"/>
        <w:ind w:firstLine="480" w:firstLineChars="200"/>
        <w:textAlignment w:val="baseline"/>
        <w:rPr>
          <w:rFonts w:hint="eastAsia" w:ascii="宋体" w:hAnsi="宋体" w:cs="宋体"/>
          <w:color w:val="auto"/>
          <w:szCs w:val="24"/>
          <w:highlight w:val="none"/>
        </w:rPr>
      </w:pPr>
      <w:r>
        <w:rPr>
          <w:rFonts w:hint="eastAsia" w:ascii="宋体" w:hAnsi="宋体" w:cs="宋体"/>
          <w:color w:val="auto"/>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29FF80EE">
      <w:pPr>
        <w:snapToGrid w:val="0"/>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1.本合同书</w:t>
      </w:r>
    </w:p>
    <w:p w14:paraId="3C2E9F7F">
      <w:pPr>
        <w:snapToGrid w:val="0"/>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2.中标通知书</w:t>
      </w:r>
      <w:r>
        <w:rPr>
          <w:rFonts w:hint="eastAsia" w:ascii="宋体" w:hAnsi="宋体" w:cs="宋体"/>
          <w:color w:val="auto"/>
          <w:szCs w:val="24"/>
          <w:highlight w:val="none"/>
        </w:rPr>
        <w:tab/>
      </w:r>
    </w:p>
    <w:p w14:paraId="062E6716">
      <w:pPr>
        <w:snapToGrid w:val="0"/>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3.协议</w:t>
      </w:r>
    </w:p>
    <w:p w14:paraId="54360DD0">
      <w:pPr>
        <w:snapToGrid w:val="0"/>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4.招标文件(含澄清或者修改文件)</w:t>
      </w:r>
    </w:p>
    <w:p w14:paraId="1A5488EB">
      <w:pPr>
        <w:snapToGrid w:val="0"/>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5.投标文件</w:t>
      </w:r>
    </w:p>
    <w:p w14:paraId="0A83C370">
      <w:pPr>
        <w:pStyle w:val="7"/>
        <w:spacing w:line="360" w:lineRule="auto"/>
        <w:ind w:firstLine="424" w:firstLineChars="176"/>
        <w:rPr>
          <w:rFonts w:hint="eastAsia" w:ascii="宋体" w:hAnsi="宋体"/>
          <w:b/>
          <w:color w:val="auto"/>
          <w:szCs w:val="24"/>
          <w:highlight w:val="none"/>
        </w:rPr>
      </w:pPr>
      <w:r>
        <w:rPr>
          <w:rFonts w:hint="eastAsia" w:ascii="宋体" w:hAnsi="宋体"/>
          <w:b/>
          <w:color w:val="auto"/>
          <w:szCs w:val="24"/>
          <w:highlight w:val="none"/>
        </w:rPr>
        <w:t>第十五条 合同生效及其他</w:t>
      </w:r>
    </w:p>
    <w:p w14:paraId="78BCFE6C">
      <w:pPr>
        <w:snapToGrid w:val="0"/>
        <w:spacing w:line="360" w:lineRule="auto"/>
        <w:ind w:firstLine="480" w:firstLineChars="200"/>
        <w:rPr>
          <w:rFonts w:hint="eastAsia" w:ascii="宋体" w:hAnsi="宋体" w:cs="宋体"/>
          <w:color w:val="auto"/>
          <w:szCs w:val="24"/>
          <w:highlight w:val="none"/>
        </w:rPr>
      </w:pPr>
      <w:r>
        <w:rPr>
          <w:rFonts w:hint="eastAsia" w:ascii="宋体" w:hAnsi="宋体" w:cs="宋体"/>
          <w:color w:val="auto"/>
          <w:kern w:val="0"/>
          <w:szCs w:val="24"/>
          <w:highlight w:val="none"/>
        </w:rPr>
        <w:t>1.</w:t>
      </w:r>
      <w:r>
        <w:rPr>
          <w:rFonts w:hint="eastAsia" w:ascii="宋体" w:hAnsi="宋体" w:cs="宋体"/>
          <w:color w:val="auto"/>
          <w:szCs w:val="24"/>
          <w:highlight w:val="none"/>
        </w:rPr>
        <w:t>如有未尽事宜，由双方依法订立补充合同。</w:t>
      </w:r>
    </w:p>
    <w:p w14:paraId="31EBB0A1">
      <w:pPr>
        <w:snapToGrid w:val="0"/>
        <w:spacing w:line="360" w:lineRule="auto"/>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2.本合同自签订之日起生效。</w:t>
      </w:r>
    </w:p>
    <w:p w14:paraId="4B0CBB2D">
      <w:pPr>
        <w:snapToGrid w:val="0"/>
        <w:spacing w:line="360" w:lineRule="auto"/>
        <w:ind w:firstLine="480" w:firstLineChars="200"/>
        <w:rPr>
          <w:rFonts w:hint="eastAsia" w:ascii="宋体" w:hAnsi="宋体" w:cs="宋体"/>
          <w:color w:val="auto"/>
          <w:kern w:val="0"/>
          <w:szCs w:val="24"/>
          <w:highlight w:val="none"/>
        </w:rPr>
      </w:pPr>
      <w:r>
        <w:rPr>
          <w:rFonts w:hint="eastAsia" w:ascii="宋体" w:hAnsi="宋体" w:cs="宋体"/>
          <w:color w:val="auto"/>
          <w:kern w:val="0"/>
          <w:szCs w:val="24"/>
          <w:highlight w:val="none"/>
        </w:rPr>
        <w:t>3.本合同一式</w:t>
      </w:r>
      <w:r>
        <w:rPr>
          <w:rFonts w:hint="eastAsia" w:ascii="宋体" w:hAnsi="宋体" w:cs="宋体"/>
          <w:color w:val="auto"/>
          <w:kern w:val="0"/>
          <w:szCs w:val="24"/>
          <w:highlight w:val="none"/>
          <w:u w:val="single"/>
        </w:rPr>
        <w:t>陆</w:t>
      </w:r>
      <w:r>
        <w:rPr>
          <w:rFonts w:hint="eastAsia" w:ascii="宋体" w:hAnsi="宋体" w:cs="宋体"/>
          <w:color w:val="auto"/>
          <w:kern w:val="0"/>
          <w:szCs w:val="24"/>
          <w:highlight w:val="none"/>
        </w:rPr>
        <w:t>份，具有同等法律效力，甲乙双方各执</w:t>
      </w:r>
      <w:r>
        <w:rPr>
          <w:rFonts w:hint="eastAsia" w:ascii="宋体" w:hAnsi="宋体" w:cs="宋体"/>
          <w:color w:val="auto"/>
          <w:kern w:val="0"/>
          <w:szCs w:val="24"/>
          <w:highlight w:val="none"/>
          <w:u w:val="single"/>
        </w:rPr>
        <w:t>贰</w:t>
      </w:r>
      <w:r>
        <w:rPr>
          <w:rFonts w:hint="eastAsia" w:ascii="宋体" w:hAnsi="宋体" w:cs="宋体"/>
          <w:color w:val="auto"/>
          <w:kern w:val="0"/>
          <w:szCs w:val="24"/>
          <w:highlight w:val="none"/>
        </w:rPr>
        <w:t>份，</w:t>
      </w:r>
      <w:r>
        <w:rPr>
          <w:rFonts w:hint="eastAsia" w:ascii="宋体" w:hAnsi="宋体" w:cs="宋体"/>
          <w:color w:val="auto"/>
          <w:kern w:val="0"/>
          <w:szCs w:val="24"/>
          <w:highlight w:val="none"/>
          <w:u w:val="single"/>
        </w:rPr>
        <w:t>壹</w:t>
      </w:r>
      <w:r>
        <w:rPr>
          <w:rFonts w:hint="eastAsia" w:ascii="宋体" w:hAnsi="宋体" w:cs="宋体"/>
          <w:color w:val="auto"/>
          <w:kern w:val="0"/>
          <w:szCs w:val="24"/>
          <w:highlight w:val="none"/>
        </w:rPr>
        <w:t>份报送政府采购监督管理部门备案，一份招标代理机构存档。</w:t>
      </w:r>
    </w:p>
    <w:p w14:paraId="7F6E18FC">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 xml:space="preserve">甲方：   （盖章）   </w:t>
      </w:r>
      <w:r>
        <w:rPr>
          <w:rFonts w:hint="eastAsia" w:ascii="宋体" w:hAnsi="宋体" w:cs="宋体"/>
          <w:color w:val="auto"/>
          <w:szCs w:val="24"/>
          <w:highlight w:val="none"/>
        </w:rPr>
        <w:tab/>
      </w:r>
      <w:r>
        <w:rPr>
          <w:rFonts w:hint="eastAsia" w:ascii="宋体" w:hAnsi="宋体" w:cs="宋体"/>
          <w:color w:val="auto"/>
          <w:szCs w:val="24"/>
          <w:highlight w:val="none"/>
        </w:rPr>
        <w:tab/>
      </w:r>
      <w:r>
        <w:rPr>
          <w:rFonts w:hint="eastAsia" w:ascii="宋体" w:hAnsi="宋体" w:cs="宋体"/>
          <w:color w:val="auto"/>
          <w:szCs w:val="24"/>
          <w:highlight w:val="none"/>
        </w:rPr>
        <w:tab/>
      </w:r>
      <w:r>
        <w:rPr>
          <w:rFonts w:hint="eastAsia" w:ascii="宋体" w:hAnsi="宋体" w:cs="宋体"/>
          <w:color w:val="auto"/>
          <w:szCs w:val="24"/>
          <w:highlight w:val="none"/>
        </w:rPr>
        <w:t xml:space="preserve">   乙方：   （盖章）</w:t>
      </w:r>
    </w:p>
    <w:p w14:paraId="35EF97C3">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法定代表人/委托代理人：            法定代表人/委托代理人：</w:t>
      </w:r>
    </w:p>
    <w:p w14:paraId="71587D1F">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地    址：                         地    址：</w:t>
      </w:r>
    </w:p>
    <w:p w14:paraId="6F0282B4">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开户银行：                         开户银行：</w:t>
      </w:r>
    </w:p>
    <w:p w14:paraId="3594E407">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账    号：                         账    号：</w:t>
      </w:r>
    </w:p>
    <w:p w14:paraId="6182561B">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电    话：                         电    话：</w:t>
      </w:r>
    </w:p>
    <w:p w14:paraId="06D88EFF">
      <w:pPr>
        <w:spacing w:line="360" w:lineRule="auto"/>
        <w:ind w:firstLine="480" w:firstLineChars="200"/>
        <w:rPr>
          <w:rFonts w:hint="eastAsia" w:ascii="宋体" w:hAnsi="宋体" w:cs="宋体"/>
          <w:color w:val="auto"/>
          <w:szCs w:val="24"/>
          <w:highlight w:val="none"/>
        </w:rPr>
      </w:pPr>
      <w:r>
        <w:rPr>
          <w:rFonts w:hint="eastAsia" w:ascii="宋体" w:hAnsi="宋体" w:cs="宋体"/>
          <w:color w:val="auto"/>
          <w:szCs w:val="24"/>
          <w:highlight w:val="none"/>
        </w:rPr>
        <w:t>传    真：                         传    真：</w:t>
      </w:r>
    </w:p>
    <w:p w14:paraId="572DBD3E">
      <w:pPr>
        <w:spacing w:line="360" w:lineRule="auto"/>
        <w:ind w:firstLine="480" w:firstLineChars="200"/>
        <w:rPr>
          <w:rFonts w:ascii="宋体" w:hAnsi="宋体" w:cs="宋体"/>
          <w:szCs w:val="24"/>
        </w:rPr>
      </w:pPr>
      <w:r>
        <w:rPr>
          <w:rFonts w:hint="eastAsia" w:ascii="宋体" w:hAnsi="宋体" w:cs="宋体"/>
          <w:color w:val="auto"/>
          <w:szCs w:val="24"/>
          <w:highlight w:val="none"/>
        </w:rPr>
        <w:t xml:space="preserve">签约日期：    年  月  日           签约日期：    年  月  日 </w:t>
      </w:r>
    </w:p>
    <w:sectPr>
      <w:pgSz w:w="11905" w:h="16838"/>
      <w:pgMar w:top="1417" w:right="1417" w:bottom="1417" w:left="964" w:header="935" w:footer="771" w:gutter="567"/>
      <w:pgNumType w:fmt="numberInDash" w:start="1"/>
      <w:cols w:space="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354BA9"/>
    <w:multiLevelType w:val="multilevel"/>
    <w:tmpl w:val="19354BA9"/>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AE6"/>
    <w:rsid w:val="0001146D"/>
    <w:rsid w:val="00116EF9"/>
    <w:rsid w:val="002718CA"/>
    <w:rsid w:val="002F4C46"/>
    <w:rsid w:val="003A2014"/>
    <w:rsid w:val="0047491B"/>
    <w:rsid w:val="004A58AA"/>
    <w:rsid w:val="004D31CC"/>
    <w:rsid w:val="00570163"/>
    <w:rsid w:val="005A0F77"/>
    <w:rsid w:val="005A1FD3"/>
    <w:rsid w:val="005C3DE1"/>
    <w:rsid w:val="005F7F4A"/>
    <w:rsid w:val="0063377C"/>
    <w:rsid w:val="006B66E4"/>
    <w:rsid w:val="007D6E1E"/>
    <w:rsid w:val="00932F25"/>
    <w:rsid w:val="00942CF1"/>
    <w:rsid w:val="009B2B25"/>
    <w:rsid w:val="00B8346E"/>
    <w:rsid w:val="00BE3AE6"/>
    <w:rsid w:val="00C94358"/>
    <w:rsid w:val="00CC23AC"/>
    <w:rsid w:val="00D26F49"/>
    <w:rsid w:val="00E372FA"/>
    <w:rsid w:val="00F60C78"/>
    <w:rsid w:val="0A4E4403"/>
    <w:rsid w:val="0DED643D"/>
    <w:rsid w:val="2BCA7BA2"/>
    <w:rsid w:val="310436A2"/>
    <w:rsid w:val="4D2B20E2"/>
    <w:rsid w:val="75573829"/>
    <w:rsid w:val="7C5D2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Lines="50" w:line="360" w:lineRule="exact"/>
      <w:ind w:firstLine="480" w:firstLineChars="200"/>
    </w:pPr>
    <w:rPr>
      <w:rFonts w:ascii="宋体" w:hAnsi="宋体"/>
      <w:szCs w:val="24"/>
    </w:rPr>
  </w:style>
  <w:style w:type="paragraph" w:styleId="4">
    <w:name w:val="Normal Indent"/>
    <w:basedOn w:val="1"/>
    <w:unhideWhenUsed/>
    <w:qFormat/>
    <w:uiPriority w:val="99"/>
    <w:pPr>
      <w:ind w:firstLine="420" w:firstLineChars="200"/>
    </w:pPr>
  </w:style>
  <w:style w:type="paragraph" w:customStyle="1" w:styleId="7">
    <w:name w:val="样式 首行缩进:  2 字符"/>
    <w:basedOn w:val="1"/>
    <w:autoRedefine/>
    <w:qFormat/>
    <w:uiPriority w:val="0"/>
    <w:pPr>
      <w:spacing w:line="400" w:lineRule="exact"/>
      <w:ind w:firstLine="200" w:firstLineChars="200"/>
    </w:pPr>
    <w:rPr>
      <w:rFonts w:cs="宋体"/>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3121</Words>
  <Characters>3173</Characters>
  <Lines>107</Lines>
  <Paragraphs>121</Paragraphs>
  <TotalTime>46</TotalTime>
  <ScaleCrop>false</ScaleCrop>
  <LinksUpToDate>false</LinksUpToDate>
  <CharactersWithSpaces>3497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2024-04-19T07:54:00Z</dcterms:created>
  <dc:creator>Administrator</dc:creator>
  <cp:lastModifiedBy>张静</cp:lastModifiedBy>
  <dcterms:modified xsi:type="dcterms:W3CDTF">2025-11-27T03:40:05Z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F2825B1521964C088C6B20C5497B0D77_13</vt:lpwstr>
  </property>
  <property fmtid="{D5CDD505-2E9C-101B-9397-08002B2CF9AE}" pid="4" name="KSOTemplateDocerSaveRecord">
    <vt:lpwstr>eyJoZGlkIjoiZDg3MGVlMjAwZWVjNzYzZTdmY2JiMGY0ZGVkMjBhNzgiLCJ1c2VySWQiOiIyNTg0OTc0MDcifQ==</vt:lpwstr>
  </property>
</Properties>
</file>