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版本号：2025-（104）1209-CG-（13）5720250529001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2025-（104）1209-CG-（13）57</w:t>
      </w:r>
      <w:r>
        <w:br/>
      </w:r>
      <w:r>
        <w:br/>
      </w:r>
      <w:r>
        <w:br/>
      </w:r>
    </w:p>
    <w:p>
      <w:pPr>
        <w:pStyle w:val="null3"/>
        <w:jc w:val="center"/>
        <w:outlineLvl w:val="2"/>
      </w:pPr>
      <w:r>
        <w:rPr>
          <w:rFonts w:ascii="仿宋_GB2312" w:hAnsi="仿宋_GB2312" w:cs="仿宋_GB2312" w:eastAsia="仿宋_GB2312"/>
          <w:sz w:val="28"/>
          <w:b/>
        </w:rPr>
        <w:t>勉县中心敬老院</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勉县中心敬老院</w:t>
      </w:r>
      <w:r>
        <w:rPr>
          <w:rFonts w:ascii="仿宋_GB2312" w:hAnsi="仿宋_GB2312" w:cs="仿宋_GB2312" w:eastAsia="仿宋_GB2312"/>
        </w:rPr>
        <w:t>委托，拟对</w:t>
      </w:r>
      <w:r>
        <w:rPr>
          <w:rFonts w:ascii="仿宋_GB2312" w:hAnsi="仿宋_GB2312" w:cs="仿宋_GB2312" w:eastAsia="仿宋_GB2312"/>
        </w:rPr>
        <w:t>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2025-（104）1209-CG-（13）57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改造洗衣间517㎡(新铺墙地面砖、刷乳胶漆、吊顶)、卫生间(拆除新建隔墙12m³、水电路)；室内外及公共场所喷涂乳胶漆14600㎡，修缮木门360樘;安装太阳能路灯70盏，购置安装连体餐桌椅30套、马桶及洗手盆180套等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采购包1（勉县中心敬老院提升改造项目）：属于专门面向中小企业采购。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的参与人员：供应商应授权合法的人员参与磋商，其中法定代表人直接参加磋商的，须出具法定代表人身份证明，并与营业执照上信息一致。法定代表人授权代表参与磋商的，须出具法定代表人授权书、授权代表身份证；供应商需提供相关证件复印件并加盖电子印章。</w:t>
      </w:r>
    </w:p>
    <w:p>
      <w:pPr>
        <w:pStyle w:val="null3"/>
      </w:pPr>
      <w:r>
        <w:rPr>
          <w:rFonts w:ascii="仿宋_GB2312" w:hAnsi="仿宋_GB2312" w:cs="仿宋_GB2312" w:eastAsia="仿宋_GB2312"/>
        </w:rPr>
        <w:t>2、供应商基本情况：具有独立承担民事责任能力的法人、其他组织或自然人，并出具合法有效的营业执照或事业单位法人证书等国家规定的相关证明，自然人参与的提供其身份证明；供应商需提供相关证件复印件并加盖电子印章。</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并加盖电子印章。</w:t>
      </w:r>
    </w:p>
    <w:p>
      <w:pPr>
        <w:pStyle w:val="null3"/>
      </w:pPr>
      <w:r>
        <w:rPr>
          <w:rFonts w:ascii="仿宋_GB2312" w:hAnsi="仿宋_GB2312" w:cs="仿宋_GB2312" w:eastAsia="仿宋_GB2312"/>
        </w:rPr>
        <w:t>4、供应商资质要求：供应商须具备建设行政主管部门核发的建筑工程施工总承包三级及以上资质，并具备有效的安全生产许可证。</w:t>
      </w:r>
    </w:p>
    <w:p>
      <w:pPr>
        <w:pStyle w:val="null3"/>
      </w:pPr>
      <w:r>
        <w:rPr>
          <w:rFonts w:ascii="仿宋_GB2312" w:hAnsi="仿宋_GB2312" w:cs="仿宋_GB2312" w:eastAsia="仿宋_GB2312"/>
        </w:rPr>
        <w:t>5、拟派项目负责人资质和专业要求：拟派项目负责人须具备建筑工程专业二级及以上注册建造师执业资格和有效的安全生产考核合格证书（建安B证），且在本单位注册、无在建工程，提供相关证书资料及无在建承诺</w:t>
      </w:r>
    </w:p>
    <w:p>
      <w:pPr>
        <w:pStyle w:val="null3"/>
      </w:pPr>
      <w:r>
        <w:rPr>
          <w:rFonts w:ascii="仿宋_GB2312" w:hAnsi="仿宋_GB2312" w:cs="仿宋_GB2312" w:eastAsia="仿宋_GB2312"/>
        </w:rPr>
        <w:t>6、无拖欠农民工工资证明：供应商须提供项目所在地或企业所在地人社部门出具的企业无拖欠农民工工资证明原件并向项目所在地人社部门报备。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勉县中心敬老院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勉县新街子镇杜寨村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勉县中心敬老院经办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15909163869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采购包1：799,341.27元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勉县中心敬老院</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勉县中心敬老院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勉县中心敬老院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地址：0916-8820189</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799,341.27</w:t>
      </w:r>
    </w:p>
    <w:p>
      <w:pPr>
        <w:pStyle w:val="null3"/>
      </w:pPr>
      <w:r>
        <w:rPr>
          <w:rFonts w:ascii="仿宋_GB2312" w:hAnsi="仿宋_GB2312" w:cs="仿宋_GB2312" w:eastAsia="仿宋_GB2312"/>
        </w:rPr>
        <w:t>采购包最高限价（元）: 799,341.27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勉县中心敬老院提升改造项目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799,341.27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标的名称：勉县中心敬老院提升改造项目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具体内容详见附件-工程量清单。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供应商应按采购人提供的工程量清单依照相关文件结合企业自身自主报价 （工程量清单不允许做任何修改）。计价方式：按（2009）《陕西省建筑工程量清单计价规则》和有关规定计价，同时应执行相配套的文件。除规定不可竞争费外，其它费用由供应商自主报价，但安全文明施工措施费须计入总造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其开户银行出具的资信证明及开户银行证明材料，④供应商注册时间截至响应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供应商授权的参与人员</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供应商需提供相关证件复印件并加盖电子印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具有独立承担民事责任能力的法人、其他组织或自然人，并出具合法有效的营业执照或事业单位法人证书等国家规定的相关证明，自然人参与的提供其身份证明；供应商需提供相关证件复印件并加盖电子印章。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并加盖电子印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拟派项目负责人须具备建筑工程专业二级及以上注册建造师执业资格和有效的安全生产考核合格证书（建安B证），且在本单位注册、无在建工程，提供相关证书资料及无在建承诺</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无拖欠农民工工资证明</w:t>
            </w:r>
          </w:p>
        </w:tc>
        <w:tc>
          <w:tcPr>
            <w:tcW w:type="dxa" w:w="3322"/>
          </w:tcPr>
          <w:p>
            <w:pPr>
              <w:pStyle w:val="null3"/>
            </w:pPr>
            <w:r>
              <w:rPr>
                <w:rFonts w:ascii="仿宋_GB2312" w:hAnsi="仿宋_GB2312" w:cs="仿宋_GB2312" w:eastAsia="仿宋_GB2312"/>
              </w:rPr>
              <w:t>供应商须提供项目所在地或企业所在地人社部门出具的企业无拖欠农民工工资证明原件并向项目所在地人社部门报备。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投标文件中项目名称、项目编号、合同包号与本项目一致，无遗漏；</w:t>
            </w:r>
          </w:p>
        </w:tc>
        <w:tc>
          <w:tcPr>
            <w:tcW w:type="dxa" w:w="1661"/>
          </w:tcPr>
          <w:p>
            <w:pPr>
              <w:pStyle w:val="null3"/>
            </w:pPr>
            <w:r>
              <w:rPr>
                <w:rFonts w:ascii="仿宋_GB2312" w:hAnsi="仿宋_GB2312" w:cs="仿宋_GB2312" w:eastAsia="仿宋_GB2312"/>
              </w:rPr>
              <w:t>响应文件封面 中小企业声明函 报价函 技术服务合同条款及其他商务要求应答表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响应文件封面 已标价工程量清单 中小企业声明函 报价函 技术服务合同条款及其他商务要求应答表 供应商类似项目业绩一览表 响应函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投标报价要求</w:t>
            </w:r>
          </w:p>
        </w:tc>
        <w:tc>
          <w:tcPr>
            <w:tcW w:type="dxa" w:w="3322"/>
          </w:tcPr>
          <w:p>
            <w:pPr>
              <w:pStyle w:val="null3"/>
            </w:pPr>
            <w:r>
              <w:rPr>
                <w:rFonts w:ascii="仿宋_GB2312" w:hAnsi="仿宋_GB2312" w:cs="仿宋_GB2312" w:eastAsia="仿宋_GB2312"/>
              </w:rPr>
              <w:t>投标报价符合唯一性，投标报价未超出采购预算或采购最高限价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2022年1月1日至今类似工程施工业绩，有一项得3分，最高得6分；类似业绩为建筑工程施工业绩。 须提供中标（成交）通知书、合同协议书及项目验收合格证明资料。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1.项目经理2022年1月1日至今承担过类似工程(建筑工程施工业绩）得3分，须提供中标（成交）通知书、合同协议书及项目验收合格证明资料。 2.项目经理具有建筑工程相关专业中级技术职称得0.5分；具有建筑工程相关专业高级及以上技术职称得1分。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质量保证措施科学、合理、全面、可行性高得10.1~15分；质量保证措施较合理、 内容较完整得5.1~10分；质量保证措施不完整、可行性较差得1.0~5分；无此内容得0分。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工期保证措施科学、合理、全面、可行性高得7.1~10分；工期保证措施较合理、内容较完整得3.1~7分；工期保证措施不完整 、可行性较差得1.0~3分，无此项内容得0分。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保证措施符合规范要求、内容全面、详细，创新性及可操作性强得7.1～10分；保证措施内容较完整、基本基本可行得3.1～7分；保证措施不完整、可行性较差得1.0~3分，无此内容得0分。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施工方案合理、全面、可操作性强得7.1～10分；施工方案较齐全、基本可行得3.1～7分；施工方案不完整、可行性较差得1.0～3分；无此内容得0分。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拟派实名制人员配置</w:t>
            </w:r>
          </w:p>
        </w:tc>
        <w:tc>
          <w:tcPr>
            <w:tcW w:type="dxa" w:w="2492"/>
          </w:tcPr>
          <w:p>
            <w:pPr>
              <w:pStyle w:val="null3"/>
            </w:pPr>
            <w:r>
              <w:rPr>
                <w:rFonts w:ascii="仿宋_GB2312" w:hAnsi="仿宋_GB2312" w:cs="仿宋_GB2312" w:eastAsia="仿宋_GB2312"/>
              </w:rPr>
              <w:t>项目部技术人员岗位配置充足、齐全得3.1~5分；技术人员基本满足施工要求得1~3分；无此项内容得0分。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质量保证及服务承诺详尽，符合项目特点得7.1~10分；质量保证及服务承诺基本合理、可行得3.1~7分；质量保证及服务承诺不够完善得1~3分；无此项内容得0分。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