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B6C10">
      <w:pPr>
        <w:pStyle w:val="2"/>
        <w:spacing w:before="120" w:beforeLines="50" w:after="120" w:afterLines="50" w:line="240" w:lineRule="auto"/>
        <w:jc w:val="center"/>
        <w:rPr>
          <w:rFonts w:hint="eastAsia" w:ascii="宋体" w:hAnsi="宋体" w:eastAsia="宋体" w:cs="宋体"/>
          <w:b w:val="0"/>
          <w:bCs/>
          <w:color w:val="000000"/>
          <w:sz w:val="44"/>
          <w:szCs w:val="44"/>
          <w:highlight w:val="none"/>
        </w:rPr>
      </w:pPr>
      <w:r>
        <w:rPr>
          <w:rFonts w:hint="eastAsia" w:ascii="宋体" w:hAnsi="宋体" w:eastAsia="宋体" w:cs="宋体"/>
          <w:b/>
          <w:bCs w:val="0"/>
          <w:color w:val="000000"/>
          <w:sz w:val="44"/>
          <w:szCs w:val="44"/>
          <w:highlight w:val="none"/>
        </w:rPr>
        <w:t>买卖</w:t>
      </w:r>
      <w:r>
        <w:rPr>
          <w:rFonts w:hint="eastAsia" w:ascii="宋体" w:hAnsi="宋体" w:eastAsia="宋体" w:cs="宋体"/>
          <w:b/>
          <w:bCs w:val="0"/>
          <w:color w:val="000000"/>
          <w:sz w:val="44"/>
          <w:szCs w:val="44"/>
          <w:highlight w:val="none"/>
          <w:lang w:val="en-US" w:eastAsia="zh-CN"/>
        </w:rPr>
        <w:t>合同</w:t>
      </w:r>
    </w:p>
    <w:p w14:paraId="25250F0A">
      <w:pPr>
        <w:pStyle w:val="6"/>
        <w:spacing w:before="240" w:beforeLines="100" w:line="360" w:lineRule="auto"/>
        <w:ind w:firstLine="420"/>
        <w:rPr>
          <w:rFonts w:hint="default" w:ascii="宋体" w:hAnsi="宋体" w:eastAsia="宋体" w:cs="宋体"/>
          <w:color w:val="000000"/>
          <w:sz w:val="21"/>
          <w:szCs w:val="21"/>
          <w:highlight w:val="none"/>
          <w:u w:val="single"/>
          <w:lang w:val="en-US" w:eastAsia="zh-CN"/>
        </w:rPr>
      </w:pPr>
      <w:r>
        <w:rPr>
          <w:rFonts w:hint="eastAsia" w:ascii="宋体" w:hAnsi="宋体" w:eastAsia="宋体" w:cs="宋体"/>
          <w:color w:val="000000"/>
          <w:sz w:val="21"/>
          <w:szCs w:val="21"/>
          <w:highlight w:val="none"/>
        </w:rPr>
        <w:t xml:space="preserve">合同编号： </w:t>
      </w:r>
      <w:r>
        <w:rPr>
          <w:rFonts w:hint="eastAsia" w:ascii="宋体" w:hAnsi="宋体" w:cs="宋体"/>
          <w:color w:val="000000"/>
          <w:sz w:val="21"/>
          <w:szCs w:val="21"/>
          <w:highlight w:val="none"/>
          <w:u w:val="single"/>
          <w:lang w:val="en-US" w:eastAsia="zh-CN"/>
        </w:rPr>
        <w:t xml:space="preserve">                                </w:t>
      </w:r>
    </w:p>
    <w:p w14:paraId="203C5987">
      <w:pPr>
        <w:pStyle w:val="6"/>
        <w:spacing w:line="360" w:lineRule="auto"/>
        <w:ind w:firstLine="420"/>
        <w:rPr>
          <w:rFonts w:hint="default" w:ascii="宋体" w:hAnsi="宋体" w:eastAsia="宋体" w:cs="宋体"/>
          <w:color w:val="000000"/>
          <w:sz w:val="21"/>
          <w:szCs w:val="21"/>
          <w:highlight w:val="none"/>
          <w:u w:val="single"/>
          <w:lang w:val="en-US" w:eastAsia="zh-CN"/>
        </w:rPr>
      </w:pPr>
      <w:r>
        <w:rPr>
          <w:rFonts w:hint="eastAsia" w:ascii="宋体" w:hAnsi="宋体" w:eastAsia="宋体" w:cs="宋体"/>
          <w:color w:val="000000"/>
          <w:sz w:val="21"/>
          <w:szCs w:val="21"/>
          <w:highlight w:val="none"/>
        </w:rPr>
        <w:t xml:space="preserve">签订地点： </w:t>
      </w:r>
      <w:r>
        <w:rPr>
          <w:rFonts w:hint="eastAsia" w:ascii="宋体" w:hAnsi="宋体" w:cs="宋体"/>
          <w:color w:val="000000"/>
          <w:sz w:val="21"/>
          <w:szCs w:val="21"/>
          <w:highlight w:val="none"/>
          <w:u w:val="single"/>
          <w:lang w:val="en-US" w:eastAsia="zh-CN"/>
        </w:rPr>
        <w:t xml:space="preserve">                                </w:t>
      </w:r>
    </w:p>
    <w:p w14:paraId="17D48613">
      <w:pPr>
        <w:pStyle w:val="6"/>
        <w:spacing w:line="360" w:lineRule="auto"/>
        <w:ind w:firstLine="420"/>
        <w:rPr>
          <w:rFonts w:hint="default" w:ascii="宋体" w:hAnsi="宋体" w:eastAsia="宋体" w:cs="宋体"/>
          <w:color w:val="000000"/>
          <w:sz w:val="21"/>
          <w:szCs w:val="21"/>
          <w:highlight w:val="none"/>
          <w:u w:val="single"/>
          <w:lang w:val="en-US" w:eastAsia="zh-CN"/>
        </w:rPr>
      </w:pPr>
      <w:r>
        <w:rPr>
          <w:rFonts w:hint="eastAsia" w:ascii="宋体" w:hAnsi="宋体" w:eastAsia="宋体" w:cs="宋体"/>
          <w:color w:val="000000"/>
          <w:sz w:val="21"/>
          <w:szCs w:val="21"/>
          <w:highlight w:val="none"/>
        </w:rPr>
        <w:t>签订时间：</w:t>
      </w:r>
      <w:r>
        <w:rPr>
          <w:rFonts w:hint="eastAsia" w:ascii="宋体" w:hAnsi="宋体" w:cs="宋体"/>
          <w:color w:val="000000"/>
          <w:sz w:val="21"/>
          <w:szCs w:val="21"/>
          <w:highlight w:val="none"/>
          <w:lang w:val="en-US" w:eastAsia="zh-CN"/>
        </w:rPr>
        <w:t xml:space="preserve"> </w:t>
      </w:r>
      <w:r>
        <w:rPr>
          <w:rFonts w:hint="eastAsia" w:ascii="宋体" w:hAnsi="宋体" w:cs="宋体"/>
          <w:color w:val="000000"/>
          <w:sz w:val="21"/>
          <w:szCs w:val="21"/>
          <w:highlight w:val="none"/>
          <w:u w:val="single"/>
          <w:lang w:val="en-US" w:eastAsia="zh-CN"/>
        </w:rPr>
        <w:t xml:space="preserve">                                </w:t>
      </w:r>
    </w:p>
    <w:p w14:paraId="0822A415">
      <w:pPr>
        <w:pStyle w:val="6"/>
        <w:spacing w:line="360" w:lineRule="auto"/>
        <w:ind w:firstLine="420"/>
        <w:rPr>
          <w:rFonts w:hint="eastAsia" w:ascii="宋体" w:hAnsi="宋体" w:eastAsia="宋体" w:cs="宋体"/>
          <w:color w:val="000000"/>
          <w:sz w:val="21"/>
          <w:szCs w:val="21"/>
          <w:highlight w:val="none"/>
        </w:rPr>
      </w:pPr>
    </w:p>
    <w:p w14:paraId="2FEEB38B">
      <w:pPr>
        <w:pStyle w:val="6"/>
        <w:spacing w:line="360" w:lineRule="auto"/>
        <w:ind w:firstLine="420"/>
        <w:rPr>
          <w:rFonts w:hint="default" w:ascii="宋体" w:hAnsi="宋体" w:eastAsia="宋体" w:cs="宋体"/>
          <w:color w:val="000000"/>
          <w:sz w:val="21"/>
          <w:szCs w:val="21"/>
          <w:highlight w:val="none"/>
          <w:u w:val="single"/>
          <w:lang w:val="en-US" w:eastAsia="zh-CN"/>
        </w:rPr>
      </w:pPr>
      <w:r>
        <w:rPr>
          <w:rFonts w:hint="eastAsia" w:ascii="宋体" w:hAnsi="宋体" w:eastAsia="宋体" w:cs="宋体"/>
          <w:color w:val="000000"/>
          <w:sz w:val="21"/>
          <w:szCs w:val="21"/>
          <w:highlight w:val="none"/>
        </w:rPr>
        <w:t>采购人（甲方）：</w:t>
      </w:r>
      <w:r>
        <w:rPr>
          <w:rFonts w:hint="eastAsia" w:ascii="宋体" w:hAnsi="宋体" w:eastAsia="宋体" w:cs="宋体"/>
          <w:color w:val="000000"/>
          <w:sz w:val="21"/>
          <w:szCs w:val="21"/>
          <w:highlight w:val="none"/>
          <w:u w:val="single"/>
          <w:lang w:val="en-US" w:eastAsia="zh-CN"/>
        </w:rPr>
        <w:t>勉县同沟寺镇人民政府</w:t>
      </w:r>
      <w:r>
        <w:rPr>
          <w:rFonts w:hint="eastAsia" w:ascii="宋体" w:hAnsi="宋体" w:cs="宋体"/>
          <w:color w:val="000000"/>
          <w:sz w:val="21"/>
          <w:szCs w:val="21"/>
          <w:highlight w:val="none"/>
          <w:u w:val="single"/>
          <w:lang w:val="en-US" w:eastAsia="zh-CN"/>
        </w:rPr>
        <w:t xml:space="preserve">  </w:t>
      </w:r>
    </w:p>
    <w:p w14:paraId="313D92E4">
      <w:pPr>
        <w:pStyle w:val="6"/>
        <w:spacing w:line="360" w:lineRule="auto"/>
        <w:ind w:firstLine="420"/>
        <w:rPr>
          <w:rFonts w:hint="default" w:ascii="宋体" w:hAnsi="宋体" w:eastAsia="宋体" w:cs="宋体"/>
          <w:color w:val="000000"/>
          <w:sz w:val="21"/>
          <w:szCs w:val="21"/>
          <w:highlight w:val="none"/>
          <w:u w:val="single"/>
          <w:lang w:val="en-US" w:eastAsia="zh-CN"/>
        </w:rPr>
      </w:pPr>
      <w:r>
        <w:rPr>
          <w:rFonts w:hint="eastAsia" w:ascii="宋体" w:hAnsi="宋体" w:eastAsia="宋体" w:cs="宋体"/>
          <w:color w:val="000000"/>
          <w:sz w:val="21"/>
          <w:szCs w:val="21"/>
          <w:highlight w:val="none"/>
          <w:lang w:val="en-US" w:eastAsia="zh-CN"/>
        </w:rPr>
        <w:t>投标人</w:t>
      </w:r>
      <w:r>
        <w:rPr>
          <w:rFonts w:hint="eastAsia" w:ascii="宋体" w:hAnsi="宋体" w:eastAsia="宋体" w:cs="宋体"/>
          <w:color w:val="000000"/>
          <w:sz w:val="21"/>
          <w:szCs w:val="21"/>
          <w:highlight w:val="none"/>
        </w:rPr>
        <w:t>（乙方）：</w:t>
      </w:r>
      <w:r>
        <w:rPr>
          <w:rFonts w:hint="eastAsia" w:ascii="宋体" w:hAnsi="宋体" w:cs="宋体"/>
          <w:color w:val="000000"/>
          <w:sz w:val="21"/>
          <w:szCs w:val="21"/>
          <w:highlight w:val="none"/>
          <w:u w:val="single"/>
          <w:lang w:val="en-US" w:eastAsia="zh-CN"/>
        </w:rPr>
        <w:t xml:space="preserve">                      </w:t>
      </w:r>
    </w:p>
    <w:p w14:paraId="22E1CBB8">
      <w:pPr>
        <w:pStyle w:val="6"/>
        <w:spacing w:before="120" w:beforeLines="50" w:line="360" w:lineRule="auto"/>
        <w:ind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根据《中华人民共和国政府采购法》及实施条例、《中华人民共和国民法典》和甲方</w:t>
      </w:r>
      <w:r>
        <w:rPr>
          <w:rFonts w:hint="eastAsia" w:ascii="宋体" w:hAnsi="宋体" w:cs="宋体"/>
          <w:color w:val="000000"/>
          <w:sz w:val="21"/>
          <w:szCs w:val="21"/>
          <w:highlight w:val="none"/>
          <w:u w:val="single"/>
          <w:lang w:eastAsia="zh-CN"/>
        </w:rPr>
        <w:t>2025年勉县同沟寺镇晨光村中药材基地建设项目设备采购</w:t>
      </w:r>
      <w:r>
        <w:rPr>
          <w:rFonts w:hint="eastAsia" w:ascii="宋体" w:hAnsi="宋体" w:eastAsia="宋体" w:cs="宋体"/>
          <w:color w:val="000000"/>
          <w:sz w:val="21"/>
          <w:szCs w:val="21"/>
          <w:highlight w:val="none"/>
        </w:rPr>
        <w:t>（采购项目编号：</w:t>
      </w:r>
      <w:r>
        <w:rPr>
          <w:rFonts w:hint="eastAsia" w:ascii="宋体" w:hAnsi="宋体" w:eastAsia="宋体" w:cs="宋体"/>
          <w:color w:val="000000"/>
          <w:sz w:val="21"/>
          <w:szCs w:val="21"/>
          <w:highlight w:val="none"/>
          <w:u w:val="single"/>
          <w:lang w:eastAsia="zh-CN"/>
        </w:rPr>
        <w:t>SCYB2025-CG-00</w:t>
      </w:r>
      <w:r>
        <w:rPr>
          <w:rFonts w:hint="eastAsia" w:ascii="宋体" w:hAnsi="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rPr>
        <w:t>）的招标文件、投标文件等有关规定，为确保甲方采购项目的顺利实施，甲、乙双方在平等自愿原则下签订本合同，并共同遵守如下条款：</w:t>
      </w:r>
    </w:p>
    <w:p w14:paraId="5596752D">
      <w:pPr>
        <w:pStyle w:val="6"/>
        <w:spacing w:before="120" w:beforeLines="50" w:line="360" w:lineRule="auto"/>
        <w:ind w:firstLine="452" w:firstLineChars="150"/>
        <w:rPr>
          <w:rFonts w:hint="eastAsia" w:ascii="宋体" w:hAnsi="宋体" w:eastAsia="宋体" w:cs="宋体"/>
          <w:b/>
          <w:color w:val="000000"/>
          <w:sz w:val="30"/>
          <w:szCs w:val="30"/>
          <w:highlight w:val="none"/>
        </w:rPr>
      </w:pPr>
      <w:r>
        <w:rPr>
          <w:rFonts w:hint="eastAsia" w:ascii="宋体" w:hAnsi="宋体" w:eastAsia="宋体" w:cs="宋体"/>
          <w:b/>
          <w:color w:val="000000"/>
          <w:sz w:val="30"/>
          <w:szCs w:val="30"/>
          <w:highlight w:val="none"/>
        </w:rPr>
        <w:t>第一条 合同标的及数量</w:t>
      </w:r>
    </w:p>
    <w:p w14:paraId="5D7C4228">
      <w:pPr>
        <w:pStyle w:val="6"/>
        <w:spacing w:before="120" w:beforeLines="50" w:line="360" w:lineRule="auto"/>
        <w:ind w:firstLine="525" w:firstLineChars="250"/>
        <w:rPr>
          <w:rFonts w:hint="eastAsia" w:ascii="宋体" w:hAnsi="宋体" w:eastAsia="宋体" w:cs="宋体"/>
          <w:b/>
          <w:color w:val="000000"/>
          <w:sz w:val="21"/>
          <w:szCs w:val="21"/>
          <w:highlight w:val="none"/>
        </w:rPr>
      </w:pPr>
      <w:r>
        <w:rPr>
          <w:rFonts w:hint="eastAsia" w:ascii="宋体" w:hAnsi="宋体" w:eastAsia="宋体" w:cs="宋体"/>
          <w:color w:val="000000"/>
          <w:sz w:val="21"/>
          <w:szCs w:val="21"/>
          <w:highlight w:val="none"/>
        </w:rPr>
        <w:t>乙方向甲方提供下列货物（产品）：</w:t>
      </w:r>
    </w:p>
    <w:p w14:paraId="687D6FEF">
      <w:pPr>
        <w:pStyle w:val="3"/>
        <w:spacing w:before="120" w:beforeLines="50" w:after="120" w:afterLines="50"/>
        <w:ind w:firstLine="0"/>
        <w:jc w:val="center"/>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t>供货一览表</w:t>
      </w:r>
    </w:p>
    <w:p w14:paraId="45A43788">
      <w:pPr>
        <w:widowControl w:val="0"/>
        <w:jc w:val="both"/>
        <w:rPr>
          <w:rFonts w:hint="eastAsia" w:ascii="宋体" w:hAnsi="宋体" w:eastAsia="宋体" w:cs="宋体"/>
          <w:color w:val="000000"/>
          <w:kern w:val="2"/>
          <w:sz w:val="21"/>
          <w:szCs w:val="21"/>
          <w:highlight w:val="none"/>
          <w:lang w:val="en-US" w:eastAsia="zh-CN" w:bidi="ar-SA"/>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843"/>
        <w:gridCol w:w="1559"/>
        <w:gridCol w:w="1701"/>
        <w:gridCol w:w="709"/>
        <w:gridCol w:w="709"/>
        <w:gridCol w:w="1134"/>
        <w:gridCol w:w="1134"/>
      </w:tblGrid>
      <w:tr w14:paraId="1C5B7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noWrap w:val="0"/>
            <w:vAlign w:val="center"/>
          </w:tcPr>
          <w:p w14:paraId="22D35279">
            <w:pPr>
              <w:widowControl w:val="0"/>
              <w:jc w:val="center"/>
              <w:rPr>
                <w:rFonts w:hint="eastAsia" w:ascii="宋体" w:hAnsi="宋体" w:eastAsia="宋体" w:cs="宋体"/>
                <w:b/>
                <w:bCs/>
                <w:color w:val="000000"/>
                <w:kern w:val="2"/>
                <w:sz w:val="21"/>
                <w:szCs w:val="21"/>
                <w:highlight w:val="none"/>
                <w:lang w:val="en-US" w:eastAsia="zh-CN" w:bidi="ar-SA"/>
              </w:rPr>
            </w:pPr>
            <w:r>
              <w:rPr>
                <w:rFonts w:hint="eastAsia" w:ascii="宋体" w:hAnsi="宋体" w:eastAsia="宋体" w:cs="宋体"/>
                <w:b/>
                <w:bCs/>
                <w:color w:val="000000"/>
                <w:kern w:val="2"/>
                <w:sz w:val="21"/>
                <w:szCs w:val="21"/>
                <w:highlight w:val="none"/>
                <w:lang w:val="en-US" w:eastAsia="zh-CN" w:bidi="ar-SA"/>
              </w:rPr>
              <w:t>序号</w:t>
            </w:r>
          </w:p>
        </w:tc>
        <w:tc>
          <w:tcPr>
            <w:tcW w:w="1843" w:type="dxa"/>
            <w:noWrap w:val="0"/>
            <w:vAlign w:val="center"/>
          </w:tcPr>
          <w:p w14:paraId="7C543D0C">
            <w:pPr>
              <w:widowControl w:val="0"/>
              <w:jc w:val="center"/>
              <w:rPr>
                <w:rFonts w:hint="eastAsia" w:ascii="宋体" w:hAnsi="宋体" w:eastAsia="宋体" w:cs="宋体"/>
                <w:b/>
                <w:bCs/>
                <w:color w:val="000000"/>
                <w:kern w:val="2"/>
                <w:sz w:val="21"/>
                <w:szCs w:val="21"/>
                <w:highlight w:val="none"/>
                <w:lang w:val="en-US" w:eastAsia="zh-CN" w:bidi="ar-SA"/>
              </w:rPr>
            </w:pPr>
            <w:r>
              <w:rPr>
                <w:rFonts w:hint="eastAsia" w:ascii="宋体" w:hAnsi="宋体" w:eastAsia="宋体" w:cs="宋体"/>
                <w:b/>
                <w:bCs/>
                <w:color w:val="000000"/>
                <w:kern w:val="2"/>
                <w:sz w:val="21"/>
                <w:szCs w:val="21"/>
                <w:highlight w:val="none"/>
                <w:lang w:val="en-US" w:eastAsia="zh-CN" w:bidi="ar-SA"/>
              </w:rPr>
              <w:t>产品名称</w:t>
            </w:r>
          </w:p>
        </w:tc>
        <w:tc>
          <w:tcPr>
            <w:tcW w:w="1559" w:type="dxa"/>
            <w:noWrap w:val="0"/>
            <w:vAlign w:val="center"/>
          </w:tcPr>
          <w:p w14:paraId="4120B74B">
            <w:pPr>
              <w:widowControl w:val="0"/>
              <w:jc w:val="center"/>
              <w:rPr>
                <w:rFonts w:hint="eastAsia" w:ascii="宋体" w:hAnsi="宋体" w:eastAsia="宋体" w:cs="宋体"/>
                <w:b/>
                <w:bCs/>
                <w:color w:val="000000"/>
                <w:kern w:val="2"/>
                <w:sz w:val="21"/>
                <w:szCs w:val="21"/>
                <w:highlight w:val="none"/>
                <w:lang w:val="en-US" w:eastAsia="zh-CN" w:bidi="ar-SA"/>
              </w:rPr>
            </w:pPr>
            <w:r>
              <w:rPr>
                <w:rFonts w:hint="eastAsia" w:ascii="宋体" w:hAnsi="宋体" w:eastAsia="宋体" w:cs="宋体"/>
                <w:b/>
                <w:bCs/>
                <w:color w:val="000000"/>
                <w:kern w:val="2"/>
                <w:sz w:val="21"/>
                <w:szCs w:val="21"/>
                <w:highlight w:val="none"/>
                <w:lang w:val="en-US" w:eastAsia="zh-CN" w:bidi="ar-SA"/>
              </w:rPr>
              <w:t>品牌/商号</w:t>
            </w:r>
          </w:p>
        </w:tc>
        <w:tc>
          <w:tcPr>
            <w:tcW w:w="1701" w:type="dxa"/>
            <w:noWrap w:val="0"/>
            <w:vAlign w:val="center"/>
          </w:tcPr>
          <w:p w14:paraId="76A92B43">
            <w:pPr>
              <w:widowControl w:val="0"/>
              <w:jc w:val="center"/>
              <w:rPr>
                <w:rFonts w:hint="eastAsia" w:ascii="宋体" w:hAnsi="宋体" w:eastAsia="宋体" w:cs="宋体"/>
                <w:b/>
                <w:bCs/>
                <w:color w:val="000000"/>
                <w:kern w:val="2"/>
                <w:sz w:val="21"/>
                <w:szCs w:val="21"/>
                <w:highlight w:val="none"/>
                <w:lang w:val="en-US" w:eastAsia="zh-CN" w:bidi="ar-SA"/>
              </w:rPr>
            </w:pPr>
            <w:r>
              <w:rPr>
                <w:rFonts w:hint="eastAsia" w:ascii="宋体" w:hAnsi="宋体" w:eastAsia="宋体" w:cs="宋体"/>
                <w:b/>
                <w:bCs/>
                <w:color w:val="000000"/>
                <w:kern w:val="2"/>
                <w:sz w:val="21"/>
                <w:szCs w:val="21"/>
                <w:highlight w:val="none"/>
                <w:lang w:val="en-US" w:eastAsia="zh-CN" w:bidi="ar-SA"/>
              </w:rPr>
              <w:t>型号规格</w:t>
            </w:r>
          </w:p>
        </w:tc>
        <w:tc>
          <w:tcPr>
            <w:tcW w:w="709" w:type="dxa"/>
            <w:noWrap w:val="0"/>
            <w:vAlign w:val="center"/>
          </w:tcPr>
          <w:p w14:paraId="7C6A0873">
            <w:pPr>
              <w:widowControl w:val="0"/>
              <w:jc w:val="center"/>
              <w:rPr>
                <w:rFonts w:hint="eastAsia" w:ascii="宋体" w:hAnsi="宋体" w:eastAsia="宋体" w:cs="宋体"/>
                <w:b/>
                <w:bCs/>
                <w:color w:val="000000"/>
                <w:kern w:val="2"/>
                <w:sz w:val="21"/>
                <w:szCs w:val="21"/>
                <w:highlight w:val="none"/>
                <w:lang w:val="en-US" w:eastAsia="zh-CN" w:bidi="ar-SA"/>
              </w:rPr>
            </w:pPr>
            <w:r>
              <w:rPr>
                <w:rFonts w:hint="eastAsia" w:ascii="宋体" w:hAnsi="宋体" w:eastAsia="宋体" w:cs="宋体"/>
                <w:b/>
                <w:bCs/>
                <w:color w:val="000000"/>
                <w:kern w:val="2"/>
                <w:sz w:val="21"/>
                <w:szCs w:val="21"/>
                <w:highlight w:val="none"/>
                <w:lang w:val="en-US" w:eastAsia="zh-CN" w:bidi="ar-SA"/>
              </w:rPr>
              <w:t>计量</w:t>
            </w:r>
          </w:p>
          <w:p w14:paraId="6674D2A3">
            <w:pPr>
              <w:widowControl w:val="0"/>
              <w:jc w:val="center"/>
              <w:rPr>
                <w:rFonts w:hint="eastAsia" w:ascii="宋体" w:hAnsi="宋体" w:eastAsia="宋体" w:cs="宋体"/>
                <w:b/>
                <w:bCs/>
                <w:color w:val="000000"/>
                <w:kern w:val="2"/>
                <w:sz w:val="21"/>
                <w:szCs w:val="21"/>
                <w:highlight w:val="none"/>
                <w:lang w:val="en-US" w:eastAsia="zh-CN" w:bidi="ar-SA"/>
              </w:rPr>
            </w:pPr>
            <w:r>
              <w:rPr>
                <w:rFonts w:hint="eastAsia" w:ascii="宋体" w:hAnsi="宋体" w:eastAsia="宋体" w:cs="宋体"/>
                <w:b/>
                <w:bCs/>
                <w:color w:val="000000"/>
                <w:kern w:val="2"/>
                <w:sz w:val="21"/>
                <w:szCs w:val="21"/>
                <w:highlight w:val="none"/>
                <w:lang w:val="en-US" w:eastAsia="zh-CN" w:bidi="ar-SA"/>
              </w:rPr>
              <w:t>单位</w:t>
            </w:r>
          </w:p>
        </w:tc>
        <w:tc>
          <w:tcPr>
            <w:tcW w:w="709" w:type="dxa"/>
            <w:noWrap w:val="0"/>
            <w:vAlign w:val="center"/>
          </w:tcPr>
          <w:p w14:paraId="6A18DAC4">
            <w:pPr>
              <w:widowControl w:val="0"/>
              <w:jc w:val="center"/>
              <w:rPr>
                <w:rFonts w:hint="eastAsia" w:ascii="宋体" w:hAnsi="宋体" w:eastAsia="宋体" w:cs="宋体"/>
                <w:b/>
                <w:bCs/>
                <w:color w:val="000000"/>
                <w:kern w:val="2"/>
                <w:sz w:val="21"/>
                <w:szCs w:val="21"/>
                <w:highlight w:val="none"/>
                <w:lang w:val="en-US" w:eastAsia="zh-CN" w:bidi="ar-SA"/>
              </w:rPr>
            </w:pPr>
            <w:r>
              <w:rPr>
                <w:rFonts w:hint="eastAsia" w:ascii="宋体" w:hAnsi="宋体" w:eastAsia="宋体" w:cs="宋体"/>
                <w:b/>
                <w:bCs/>
                <w:color w:val="000000"/>
                <w:kern w:val="2"/>
                <w:sz w:val="21"/>
                <w:szCs w:val="21"/>
                <w:highlight w:val="none"/>
                <w:lang w:val="en-US" w:eastAsia="zh-CN" w:bidi="ar-SA"/>
              </w:rPr>
              <w:t>数量</w:t>
            </w:r>
          </w:p>
        </w:tc>
        <w:tc>
          <w:tcPr>
            <w:tcW w:w="1134" w:type="dxa"/>
            <w:noWrap w:val="0"/>
            <w:vAlign w:val="center"/>
          </w:tcPr>
          <w:p w14:paraId="1FB2A7B9">
            <w:pPr>
              <w:widowControl w:val="0"/>
              <w:jc w:val="center"/>
              <w:rPr>
                <w:rFonts w:hint="eastAsia" w:ascii="宋体" w:hAnsi="宋体" w:eastAsia="宋体" w:cs="宋体"/>
                <w:b/>
                <w:bCs/>
                <w:color w:val="000000"/>
                <w:kern w:val="2"/>
                <w:sz w:val="21"/>
                <w:szCs w:val="21"/>
                <w:highlight w:val="none"/>
                <w:lang w:val="en-US" w:eastAsia="zh-CN" w:bidi="ar-SA"/>
              </w:rPr>
            </w:pPr>
            <w:r>
              <w:rPr>
                <w:rFonts w:hint="eastAsia" w:ascii="宋体" w:hAnsi="宋体" w:eastAsia="宋体" w:cs="宋体"/>
                <w:b/>
                <w:bCs/>
                <w:color w:val="000000"/>
                <w:kern w:val="2"/>
                <w:sz w:val="21"/>
                <w:szCs w:val="21"/>
                <w:highlight w:val="none"/>
                <w:lang w:val="en-US" w:eastAsia="zh-CN" w:bidi="ar-SA"/>
              </w:rPr>
              <w:t>单价</w:t>
            </w:r>
          </w:p>
          <w:p w14:paraId="3E8CBD27">
            <w:pPr>
              <w:widowControl w:val="0"/>
              <w:jc w:val="center"/>
              <w:rPr>
                <w:rFonts w:hint="eastAsia" w:ascii="宋体" w:hAnsi="宋体" w:eastAsia="宋体" w:cs="宋体"/>
                <w:b/>
                <w:bCs/>
                <w:color w:val="000000"/>
                <w:kern w:val="2"/>
                <w:sz w:val="21"/>
                <w:szCs w:val="21"/>
                <w:highlight w:val="none"/>
                <w:lang w:val="en-US" w:eastAsia="zh-CN" w:bidi="ar-SA"/>
              </w:rPr>
            </w:pPr>
            <w:r>
              <w:rPr>
                <w:rFonts w:hint="eastAsia" w:ascii="宋体" w:hAnsi="宋体" w:eastAsia="宋体" w:cs="宋体"/>
                <w:b/>
                <w:bCs/>
                <w:color w:val="000000"/>
                <w:kern w:val="2"/>
                <w:sz w:val="21"/>
                <w:szCs w:val="21"/>
                <w:highlight w:val="none"/>
                <w:lang w:val="en-US" w:eastAsia="zh-CN" w:bidi="ar-SA"/>
              </w:rPr>
              <w:t>（元）</w:t>
            </w:r>
          </w:p>
        </w:tc>
        <w:tc>
          <w:tcPr>
            <w:tcW w:w="1134" w:type="dxa"/>
            <w:noWrap w:val="0"/>
            <w:vAlign w:val="center"/>
          </w:tcPr>
          <w:p w14:paraId="36E7A16A">
            <w:pPr>
              <w:widowControl w:val="0"/>
              <w:jc w:val="center"/>
              <w:rPr>
                <w:rFonts w:hint="eastAsia" w:ascii="宋体" w:hAnsi="宋体" w:eastAsia="宋体" w:cs="宋体"/>
                <w:b/>
                <w:bCs/>
                <w:color w:val="000000"/>
                <w:kern w:val="2"/>
                <w:sz w:val="21"/>
                <w:szCs w:val="21"/>
                <w:highlight w:val="none"/>
                <w:lang w:val="en-US" w:eastAsia="zh-CN" w:bidi="ar-SA"/>
              </w:rPr>
            </w:pPr>
            <w:r>
              <w:rPr>
                <w:rFonts w:hint="eastAsia" w:ascii="宋体" w:hAnsi="宋体" w:eastAsia="宋体" w:cs="宋体"/>
                <w:b/>
                <w:bCs/>
                <w:color w:val="000000"/>
                <w:kern w:val="2"/>
                <w:sz w:val="21"/>
                <w:szCs w:val="21"/>
                <w:highlight w:val="none"/>
                <w:lang w:val="en-US" w:eastAsia="zh-CN" w:bidi="ar-SA"/>
              </w:rPr>
              <w:t>金额</w:t>
            </w:r>
          </w:p>
          <w:p w14:paraId="11860187">
            <w:pPr>
              <w:widowControl w:val="0"/>
              <w:jc w:val="center"/>
              <w:rPr>
                <w:rFonts w:hint="eastAsia" w:ascii="宋体" w:hAnsi="宋体" w:eastAsia="宋体" w:cs="宋体"/>
                <w:b/>
                <w:bCs/>
                <w:color w:val="000000"/>
                <w:kern w:val="2"/>
                <w:sz w:val="21"/>
                <w:szCs w:val="21"/>
                <w:highlight w:val="none"/>
                <w:lang w:val="en-US" w:eastAsia="zh-CN" w:bidi="ar-SA"/>
              </w:rPr>
            </w:pPr>
            <w:r>
              <w:rPr>
                <w:rFonts w:hint="eastAsia" w:ascii="宋体" w:hAnsi="宋体" w:eastAsia="宋体" w:cs="宋体"/>
                <w:b/>
                <w:bCs/>
                <w:color w:val="000000"/>
                <w:kern w:val="2"/>
                <w:sz w:val="21"/>
                <w:szCs w:val="21"/>
                <w:highlight w:val="none"/>
                <w:lang w:val="en-US" w:eastAsia="zh-CN" w:bidi="ar-SA"/>
              </w:rPr>
              <w:t>(元)</w:t>
            </w:r>
          </w:p>
        </w:tc>
      </w:tr>
      <w:tr w14:paraId="7FAF4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noWrap w:val="0"/>
            <w:vAlign w:val="center"/>
          </w:tcPr>
          <w:p w14:paraId="739AE7E1">
            <w:pPr>
              <w:widowControl w:val="0"/>
              <w:jc w:val="both"/>
              <w:rPr>
                <w:rFonts w:hint="eastAsia" w:ascii="宋体" w:hAnsi="宋体" w:eastAsia="宋体" w:cs="宋体"/>
                <w:color w:val="000000"/>
                <w:kern w:val="2"/>
                <w:sz w:val="21"/>
                <w:szCs w:val="21"/>
                <w:highlight w:val="none"/>
                <w:lang w:val="en-US" w:eastAsia="zh-CN" w:bidi="ar-SA"/>
              </w:rPr>
            </w:pPr>
          </w:p>
        </w:tc>
        <w:tc>
          <w:tcPr>
            <w:tcW w:w="1843" w:type="dxa"/>
            <w:noWrap w:val="0"/>
            <w:vAlign w:val="center"/>
          </w:tcPr>
          <w:p w14:paraId="4FBA243F">
            <w:pPr>
              <w:widowControl w:val="0"/>
              <w:jc w:val="both"/>
              <w:rPr>
                <w:rFonts w:hint="eastAsia" w:ascii="宋体" w:hAnsi="宋体" w:eastAsia="宋体" w:cs="宋体"/>
                <w:color w:val="000000"/>
                <w:kern w:val="2"/>
                <w:sz w:val="21"/>
                <w:szCs w:val="21"/>
                <w:highlight w:val="none"/>
                <w:lang w:val="en-US" w:eastAsia="zh-CN" w:bidi="ar-SA"/>
              </w:rPr>
            </w:pPr>
          </w:p>
        </w:tc>
        <w:tc>
          <w:tcPr>
            <w:tcW w:w="1559" w:type="dxa"/>
            <w:noWrap w:val="0"/>
            <w:vAlign w:val="center"/>
          </w:tcPr>
          <w:p w14:paraId="7DB4B405">
            <w:pPr>
              <w:widowControl w:val="0"/>
              <w:jc w:val="both"/>
              <w:rPr>
                <w:rFonts w:hint="eastAsia" w:ascii="宋体" w:hAnsi="宋体" w:eastAsia="宋体" w:cs="宋体"/>
                <w:color w:val="000000"/>
                <w:kern w:val="2"/>
                <w:sz w:val="21"/>
                <w:szCs w:val="21"/>
                <w:highlight w:val="none"/>
                <w:lang w:val="en-US" w:eastAsia="zh-CN" w:bidi="ar-SA"/>
              </w:rPr>
            </w:pPr>
          </w:p>
        </w:tc>
        <w:tc>
          <w:tcPr>
            <w:tcW w:w="1701" w:type="dxa"/>
            <w:noWrap w:val="0"/>
            <w:vAlign w:val="center"/>
          </w:tcPr>
          <w:p w14:paraId="1C83DAC8">
            <w:pPr>
              <w:widowControl w:val="0"/>
              <w:jc w:val="both"/>
              <w:rPr>
                <w:rFonts w:hint="eastAsia" w:ascii="宋体" w:hAnsi="宋体" w:eastAsia="宋体" w:cs="宋体"/>
                <w:color w:val="000000"/>
                <w:kern w:val="2"/>
                <w:sz w:val="21"/>
                <w:szCs w:val="21"/>
                <w:highlight w:val="none"/>
                <w:lang w:val="en-US" w:eastAsia="zh-CN" w:bidi="ar-SA"/>
              </w:rPr>
            </w:pPr>
          </w:p>
        </w:tc>
        <w:tc>
          <w:tcPr>
            <w:tcW w:w="709" w:type="dxa"/>
            <w:noWrap w:val="0"/>
            <w:vAlign w:val="center"/>
          </w:tcPr>
          <w:p w14:paraId="2890A564">
            <w:pPr>
              <w:widowControl w:val="0"/>
              <w:jc w:val="both"/>
              <w:rPr>
                <w:rFonts w:hint="eastAsia" w:ascii="宋体" w:hAnsi="宋体" w:eastAsia="宋体" w:cs="宋体"/>
                <w:color w:val="000000"/>
                <w:kern w:val="2"/>
                <w:sz w:val="21"/>
                <w:szCs w:val="21"/>
                <w:highlight w:val="none"/>
                <w:lang w:val="en-US" w:eastAsia="zh-CN" w:bidi="ar-SA"/>
              </w:rPr>
            </w:pPr>
          </w:p>
        </w:tc>
        <w:tc>
          <w:tcPr>
            <w:tcW w:w="709" w:type="dxa"/>
            <w:noWrap w:val="0"/>
            <w:vAlign w:val="center"/>
          </w:tcPr>
          <w:p w14:paraId="463291B4">
            <w:pPr>
              <w:widowControl w:val="0"/>
              <w:jc w:val="both"/>
              <w:rPr>
                <w:rFonts w:hint="eastAsia" w:ascii="宋体" w:hAnsi="宋体" w:eastAsia="宋体" w:cs="宋体"/>
                <w:color w:val="000000"/>
                <w:kern w:val="2"/>
                <w:sz w:val="21"/>
                <w:szCs w:val="21"/>
                <w:highlight w:val="none"/>
                <w:lang w:val="en-US" w:eastAsia="zh-CN" w:bidi="ar-SA"/>
              </w:rPr>
            </w:pPr>
          </w:p>
        </w:tc>
        <w:tc>
          <w:tcPr>
            <w:tcW w:w="1134" w:type="dxa"/>
            <w:noWrap w:val="0"/>
            <w:vAlign w:val="center"/>
          </w:tcPr>
          <w:p w14:paraId="3CE93A86">
            <w:pPr>
              <w:widowControl w:val="0"/>
              <w:jc w:val="both"/>
              <w:rPr>
                <w:rFonts w:hint="eastAsia" w:ascii="宋体" w:hAnsi="宋体" w:eastAsia="宋体" w:cs="宋体"/>
                <w:color w:val="000000"/>
                <w:kern w:val="2"/>
                <w:sz w:val="21"/>
                <w:szCs w:val="21"/>
                <w:highlight w:val="none"/>
                <w:lang w:val="en-US" w:eastAsia="zh-CN" w:bidi="ar-SA"/>
              </w:rPr>
            </w:pPr>
          </w:p>
        </w:tc>
        <w:tc>
          <w:tcPr>
            <w:tcW w:w="1134" w:type="dxa"/>
            <w:noWrap w:val="0"/>
            <w:vAlign w:val="center"/>
          </w:tcPr>
          <w:p w14:paraId="705734F3">
            <w:pPr>
              <w:widowControl w:val="0"/>
              <w:jc w:val="both"/>
              <w:rPr>
                <w:rFonts w:hint="eastAsia" w:ascii="宋体" w:hAnsi="宋体" w:eastAsia="宋体" w:cs="宋体"/>
                <w:color w:val="000000"/>
                <w:kern w:val="2"/>
                <w:sz w:val="21"/>
                <w:szCs w:val="21"/>
                <w:highlight w:val="none"/>
                <w:lang w:val="en-US" w:eastAsia="zh-CN" w:bidi="ar-SA"/>
              </w:rPr>
            </w:pPr>
          </w:p>
        </w:tc>
      </w:tr>
      <w:tr w14:paraId="60DED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noWrap w:val="0"/>
            <w:vAlign w:val="center"/>
          </w:tcPr>
          <w:p w14:paraId="2B8A9425">
            <w:pPr>
              <w:widowControl w:val="0"/>
              <w:jc w:val="both"/>
              <w:rPr>
                <w:rFonts w:hint="eastAsia" w:ascii="宋体" w:hAnsi="宋体" w:eastAsia="宋体" w:cs="宋体"/>
                <w:color w:val="000000"/>
                <w:kern w:val="2"/>
                <w:sz w:val="21"/>
                <w:szCs w:val="21"/>
                <w:highlight w:val="none"/>
                <w:lang w:val="en-US" w:eastAsia="zh-CN" w:bidi="ar-SA"/>
              </w:rPr>
            </w:pPr>
          </w:p>
        </w:tc>
        <w:tc>
          <w:tcPr>
            <w:tcW w:w="1843" w:type="dxa"/>
            <w:noWrap w:val="0"/>
            <w:vAlign w:val="center"/>
          </w:tcPr>
          <w:p w14:paraId="2140E147">
            <w:pPr>
              <w:widowControl w:val="0"/>
              <w:jc w:val="both"/>
              <w:rPr>
                <w:rFonts w:hint="eastAsia" w:ascii="宋体" w:hAnsi="宋体" w:eastAsia="宋体" w:cs="宋体"/>
                <w:color w:val="000000"/>
                <w:kern w:val="2"/>
                <w:sz w:val="21"/>
                <w:szCs w:val="21"/>
                <w:highlight w:val="none"/>
                <w:lang w:val="en-US" w:eastAsia="zh-CN" w:bidi="ar-SA"/>
              </w:rPr>
            </w:pPr>
          </w:p>
        </w:tc>
        <w:tc>
          <w:tcPr>
            <w:tcW w:w="1559" w:type="dxa"/>
            <w:noWrap w:val="0"/>
            <w:vAlign w:val="center"/>
          </w:tcPr>
          <w:p w14:paraId="466D60FA">
            <w:pPr>
              <w:widowControl w:val="0"/>
              <w:jc w:val="both"/>
              <w:rPr>
                <w:rFonts w:hint="eastAsia" w:ascii="宋体" w:hAnsi="宋体" w:eastAsia="宋体" w:cs="宋体"/>
                <w:color w:val="000000"/>
                <w:kern w:val="2"/>
                <w:sz w:val="21"/>
                <w:szCs w:val="21"/>
                <w:highlight w:val="none"/>
                <w:lang w:val="en-US" w:eastAsia="zh-CN" w:bidi="ar-SA"/>
              </w:rPr>
            </w:pPr>
          </w:p>
        </w:tc>
        <w:tc>
          <w:tcPr>
            <w:tcW w:w="1701" w:type="dxa"/>
            <w:noWrap w:val="0"/>
            <w:vAlign w:val="center"/>
          </w:tcPr>
          <w:p w14:paraId="41591A36">
            <w:pPr>
              <w:widowControl w:val="0"/>
              <w:jc w:val="both"/>
              <w:rPr>
                <w:rFonts w:hint="eastAsia" w:ascii="宋体" w:hAnsi="宋体" w:eastAsia="宋体" w:cs="宋体"/>
                <w:color w:val="000000"/>
                <w:kern w:val="2"/>
                <w:sz w:val="21"/>
                <w:szCs w:val="21"/>
                <w:highlight w:val="none"/>
                <w:lang w:val="en-US" w:eastAsia="zh-CN" w:bidi="ar-SA"/>
              </w:rPr>
            </w:pPr>
          </w:p>
        </w:tc>
        <w:tc>
          <w:tcPr>
            <w:tcW w:w="709" w:type="dxa"/>
            <w:noWrap w:val="0"/>
            <w:vAlign w:val="center"/>
          </w:tcPr>
          <w:p w14:paraId="58E5009E">
            <w:pPr>
              <w:widowControl w:val="0"/>
              <w:jc w:val="both"/>
              <w:rPr>
                <w:rFonts w:hint="eastAsia" w:ascii="宋体" w:hAnsi="宋体" w:eastAsia="宋体" w:cs="宋体"/>
                <w:color w:val="000000"/>
                <w:kern w:val="2"/>
                <w:sz w:val="21"/>
                <w:szCs w:val="21"/>
                <w:highlight w:val="none"/>
                <w:lang w:val="en-US" w:eastAsia="zh-CN" w:bidi="ar-SA"/>
              </w:rPr>
            </w:pPr>
          </w:p>
        </w:tc>
        <w:tc>
          <w:tcPr>
            <w:tcW w:w="709" w:type="dxa"/>
            <w:noWrap w:val="0"/>
            <w:vAlign w:val="center"/>
          </w:tcPr>
          <w:p w14:paraId="62F588CC">
            <w:pPr>
              <w:widowControl w:val="0"/>
              <w:jc w:val="both"/>
              <w:rPr>
                <w:rFonts w:hint="eastAsia" w:ascii="宋体" w:hAnsi="宋体" w:eastAsia="宋体" w:cs="宋体"/>
                <w:color w:val="000000"/>
                <w:kern w:val="2"/>
                <w:sz w:val="21"/>
                <w:szCs w:val="21"/>
                <w:highlight w:val="none"/>
                <w:lang w:val="en-US" w:eastAsia="zh-CN" w:bidi="ar-SA"/>
              </w:rPr>
            </w:pPr>
          </w:p>
        </w:tc>
        <w:tc>
          <w:tcPr>
            <w:tcW w:w="1134" w:type="dxa"/>
            <w:noWrap w:val="0"/>
            <w:vAlign w:val="center"/>
          </w:tcPr>
          <w:p w14:paraId="7DE71C70">
            <w:pPr>
              <w:widowControl w:val="0"/>
              <w:jc w:val="both"/>
              <w:rPr>
                <w:rFonts w:hint="eastAsia" w:ascii="宋体" w:hAnsi="宋体" w:eastAsia="宋体" w:cs="宋体"/>
                <w:color w:val="000000"/>
                <w:kern w:val="2"/>
                <w:sz w:val="21"/>
                <w:szCs w:val="21"/>
                <w:highlight w:val="none"/>
                <w:lang w:val="en-US" w:eastAsia="zh-CN" w:bidi="ar-SA"/>
              </w:rPr>
            </w:pPr>
          </w:p>
        </w:tc>
        <w:tc>
          <w:tcPr>
            <w:tcW w:w="1134" w:type="dxa"/>
            <w:noWrap w:val="0"/>
            <w:vAlign w:val="center"/>
          </w:tcPr>
          <w:p w14:paraId="6A5399AF">
            <w:pPr>
              <w:widowControl w:val="0"/>
              <w:jc w:val="both"/>
              <w:rPr>
                <w:rFonts w:hint="eastAsia" w:ascii="宋体" w:hAnsi="宋体" w:eastAsia="宋体" w:cs="宋体"/>
                <w:color w:val="000000"/>
                <w:kern w:val="2"/>
                <w:sz w:val="21"/>
                <w:szCs w:val="21"/>
                <w:highlight w:val="none"/>
                <w:lang w:val="en-US" w:eastAsia="zh-CN" w:bidi="ar-SA"/>
              </w:rPr>
            </w:pPr>
          </w:p>
        </w:tc>
      </w:tr>
      <w:tr w14:paraId="7052A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noWrap w:val="0"/>
            <w:vAlign w:val="center"/>
          </w:tcPr>
          <w:p w14:paraId="342D2CA8">
            <w:pPr>
              <w:widowControl w:val="0"/>
              <w:jc w:val="both"/>
              <w:rPr>
                <w:rFonts w:hint="eastAsia" w:ascii="宋体" w:hAnsi="宋体" w:eastAsia="宋体" w:cs="宋体"/>
                <w:color w:val="000000"/>
                <w:kern w:val="2"/>
                <w:sz w:val="21"/>
                <w:szCs w:val="21"/>
                <w:highlight w:val="none"/>
                <w:lang w:val="en-US" w:eastAsia="zh-CN" w:bidi="ar-SA"/>
              </w:rPr>
            </w:pPr>
          </w:p>
        </w:tc>
        <w:tc>
          <w:tcPr>
            <w:tcW w:w="1843" w:type="dxa"/>
            <w:noWrap w:val="0"/>
            <w:vAlign w:val="center"/>
          </w:tcPr>
          <w:p w14:paraId="36BE8694">
            <w:pPr>
              <w:widowControl w:val="0"/>
              <w:jc w:val="both"/>
              <w:rPr>
                <w:rFonts w:hint="eastAsia" w:ascii="宋体" w:hAnsi="宋体" w:eastAsia="宋体" w:cs="宋体"/>
                <w:color w:val="000000"/>
                <w:kern w:val="2"/>
                <w:sz w:val="21"/>
                <w:szCs w:val="21"/>
                <w:highlight w:val="none"/>
                <w:lang w:val="en-US" w:eastAsia="zh-CN" w:bidi="ar-SA"/>
              </w:rPr>
            </w:pPr>
          </w:p>
        </w:tc>
        <w:tc>
          <w:tcPr>
            <w:tcW w:w="1559" w:type="dxa"/>
            <w:noWrap w:val="0"/>
            <w:vAlign w:val="center"/>
          </w:tcPr>
          <w:p w14:paraId="22937F32">
            <w:pPr>
              <w:widowControl w:val="0"/>
              <w:jc w:val="both"/>
              <w:rPr>
                <w:rFonts w:hint="eastAsia" w:ascii="宋体" w:hAnsi="宋体" w:eastAsia="宋体" w:cs="宋体"/>
                <w:color w:val="000000"/>
                <w:kern w:val="2"/>
                <w:sz w:val="21"/>
                <w:szCs w:val="21"/>
                <w:highlight w:val="none"/>
                <w:lang w:val="en-US" w:eastAsia="zh-CN" w:bidi="ar-SA"/>
              </w:rPr>
            </w:pPr>
          </w:p>
        </w:tc>
        <w:tc>
          <w:tcPr>
            <w:tcW w:w="1701" w:type="dxa"/>
            <w:noWrap w:val="0"/>
            <w:vAlign w:val="center"/>
          </w:tcPr>
          <w:p w14:paraId="7FBD5B67">
            <w:pPr>
              <w:widowControl w:val="0"/>
              <w:jc w:val="both"/>
              <w:rPr>
                <w:rFonts w:hint="eastAsia" w:ascii="宋体" w:hAnsi="宋体" w:eastAsia="宋体" w:cs="宋体"/>
                <w:color w:val="000000"/>
                <w:kern w:val="2"/>
                <w:sz w:val="21"/>
                <w:szCs w:val="21"/>
                <w:highlight w:val="none"/>
                <w:lang w:val="en-US" w:eastAsia="zh-CN" w:bidi="ar-SA"/>
              </w:rPr>
            </w:pPr>
          </w:p>
        </w:tc>
        <w:tc>
          <w:tcPr>
            <w:tcW w:w="709" w:type="dxa"/>
            <w:noWrap w:val="0"/>
            <w:vAlign w:val="center"/>
          </w:tcPr>
          <w:p w14:paraId="534BCCF4">
            <w:pPr>
              <w:widowControl w:val="0"/>
              <w:jc w:val="both"/>
              <w:rPr>
                <w:rFonts w:hint="eastAsia" w:ascii="宋体" w:hAnsi="宋体" w:eastAsia="宋体" w:cs="宋体"/>
                <w:color w:val="000000"/>
                <w:kern w:val="2"/>
                <w:sz w:val="21"/>
                <w:szCs w:val="21"/>
                <w:highlight w:val="none"/>
                <w:lang w:val="en-US" w:eastAsia="zh-CN" w:bidi="ar-SA"/>
              </w:rPr>
            </w:pPr>
          </w:p>
        </w:tc>
        <w:tc>
          <w:tcPr>
            <w:tcW w:w="709" w:type="dxa"/>
            <w:noWrap w:val="0"/>
            <w:vAlign w:val="center"/>
          </w:tcPr>
          <w:p w14:paraId="02DD01F2">
            <w:pPr>
              <w:widowControl w:val="0"/>
              <w:jc w:val="both"/>
              <w:rPr>
                <w:rFonts w:hint="eastAsia" w:ascii="宋体" w:hAnsi="宋体" w:eastAsia="宋体" w:cs="宋体"/>
                <w:color w:val="000000"/>
                <w:kern w:val="2"/>
                <w:sz w:val="21"/>
                <w:szCs w:val="21"/>
                <w:highlight w:val="none"/>
                <w:lang w:val="en-US" w:eastAsia="zh-CN" w:bidi="ar-SA"/>
              </w:rPr>
            </w:pPr>
          </w:p>
        </w:tc>
        <w:tc>
          <w:tcPr>
            <w:tcW w:w="1134" w:type="dxa"/>
            <w:noWrap w:val="0"/>
            <w:vAlign w:val="center"/>
          </w:tcPr>
          <w:p w14:paraId="5E246496">
            <w:pPr>
              <w:widowControl w:val="0"/>
              <w:jc w:val="both"/>
              <w:rPr>
                <w:rFonts w:hint="eastAsia" w:ascii="宋体" w:hAnsi="宋体" w:eastAsia="宋体" w:cs="宋体"/>
                <w:color w:val="000000"/>
                <w:kern w:val="2"/>
                <w:sz w:val="21"/>
                <w:szCs w:val="21"/>
                <w:highlight w:val="none"/>
                <w:lang w:val="en-US" w:eastAsia="zh-CN" w:bidi="ar-SA"/>
              </w:rPr>
            </w:pPr>
          </w:p>
        </w:tc>
        <w:tc>
          <w:tcPr>
            <w:tcW w:w="1134" w:type="dxa"/>
            <w:noWrap w:val="0"/>
            <w:vAlign w:val="center"/>
          </w:tcPr>
          <w:p w14:paraId="5E246614">
            <w:pPr>
              <w:widowControl w:val="0"/>
              <w:jc w:val="both"/>
              <w:rPr>
                <w:rFonts w:hint="eastAsia" w:ascii="宋体" w:hAnsi="宋体" w:eastAsia="宋体" w:cs="宋体"/>
                <w:color w:val="000000"/>
                <w:kern w:val="2"/>
                <w:sz w:val="21"/>
                <w:szCs w:val="21"/>
                <w:highlight w:val="none"/>
                <w:lang w:val="en-US" w:eastAsia="zh-CN" w:bidi="ar-SA"/>
              </w:rPr>
            </w:pPr>
          </w:p>
        </w:tc>
      </w:tr>
      <w:tr w14:paraId="12AB6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noWrap w:val="0"/>
            <w:vAlign w:val="center"/>
          </w:tcPr>
          <w:p w14:paraId="74CCB46C">
            <w:pPr>
              <w:widowControl w:val="0"/>
              <w:jc w:val="both"/>
              <w:rPr>
                <w:rFonts w:hint="eastAsia" w:ascii="宋体" w:hAnsi="宋体" w:eastAsia="宋体" w:cs="宋体"/>
                <w:color w:val="000000"/>
                <w:kern w:val="2"/>
                <w:sz w:val="21"/>
                <w:szCs w:val="21"/>
                <w:highlight w:val="none"/>
                <w:lang w:val="en-US" w:eastAsia="zh-CN" w:bidi="ar-SA"/>
              </w:rPr>
            </w:pPr>
          </w:p>
        </w:tc>
        <w:tc>
          <w:tcPr>
            <w:tcW w:w="1843" w:type="dxa"/>
            <w:noWrap w:val="0"/>
            <w:vAlign w:val="center"/>
          </w:tcPr>
          <w:p w14:paraId="1CC38ACD">
            <w:pPr>
              <w:widowControl w:val="0"/>
              <w:jc w:val="both"/>
              <w:rPr>
                <w:rFonts w:hint="eastAsia" w:ascii="宋体" w:hAnsi="宋体" w:eastAsia="宋体" w:cs="宋体"/>
                <w:color w:val="000000"/>
                <w:kern w:val="2"/>
                <w:sz w:val="21"/>
                <w:szCs w:val="21"/>
                <w:highlight w:val="none"/>
                <w:lang w:val="en-US" w:eastAsia="zh-CN" w:bidi="ar-SA"/>
              </w:rPr>
            </w:pPr>
          </w:p>
        </w:tc>
        <w:tc>
          <w:tcPr>
            <w:tcW w:w="1559" w:type="dxa"/>
            <w:noWrap w:val="0"/>
            <w:vAlign w:val="center"/>
          </w:tcPr>
          <w:p w14:paraId="27E9E8B2">
            <w:pPr>
              <w:widowControl w:val="0"/>
              <w:jc w:val="both"/>
              <w:rPr>
                <w:rFonts w:hint="eastAsia" w:ascii="宋体" w:hAnsi="宋体" w:eastAsia="宋体" w:cs="宋体"/>
                <w:color w:val="000000"/>
                <w:kern w:val="2"/>
                <w:sz w:val="21"/>
                <w:szCs w:val="21"/>
                <w:highlight w:val="none"/>
                <w:lang w:val="en-US" w:eastAsia="zh-CN" w:bidi="ar-SA"/>
              </w:rPr>
            </w:pPr>
          </w:p>
        </w:tc>
        <w:tc>
          <w:tcPr>
            <w:tcW w:w="1701" w:type="dxa"/>
            <w:noWrap w:val="0"/>
            <w:vAlign w:val="center"/>
          </w:tcPr>
          <w:p w14:paraId="4B8D068E">
            <w:pPr>
              <w:widowControl w:val="0"/>
              <w:jc w:val="both"/>
              <w:rPr>
                <w:rFonts w:hint="eastAsia" w:ascii="宋体" w:hAnsi="宋体" w:eastAsia="宋体" w:cs="宋体"/>
                <w:color w:val="000000"/>
                <w:kern w:val="2"/>
                <w:sz w:val="21"/>
                <w:szCs w:val="21"/>
                <w:highlight w:val="none"/>
                <w:lang w:val="en-US" w:eastAsia="zh-CN" w:bidi="ar-SA"/>
              </w:rPr>
            </w:pPr>
          </w:p>
        </w:tc>
        <w:tc>
          <w:tcPr>
            <w:tcW w:w="709" w:type="dxa"/>
            <w:noWrap w:val="0"/>
            <w:vAlign w:val="center"/>
          </w:tcPr>
          <w:p w14:paraId="70210AE3">
            <w:pPr>
              <w:widowControl w:val="0"/>
              <w:jc w:val="both"/>
              <w:rPr>
                <w:rFonts w:hint="eastAsia" w:ascii="宋体" w:hAnsi="宋体" w:eastAsia="宋体" w:cs="宋体"/>
                <w:color w:val="000000"/>
                <w:kern w:val="2"/>
                <w:sz w:val="21"/>
                <w:szCs w:val="21"/>
                <w:highlight w:val="none"/>
                <w:lang w:val="en-US" w:eastAsia="zh-CN" w:bidi="ar-SA"/>
              </w:rPr>
            </w:pPr>
          </w:p>
        </w:tc>
        <w:tc>
          <w:tcPr>
            <w:tcW w:w="709" w:type="dxa"/>
            <w:noWrap w:val="0"/>
            <w:vAlign w:val="center"/>
          </w:tcPr>
          <w:p w14:paraId="7B880BE3">
            <w:pPr>
              <w:widowControl w:val="0"/>
              <w:jc w:val="both"/>
              <w:rPr>
                <w:rFonts w:hint="eastAsia" w:ascii="宋体" w:hAnsi="宋体" w:eastAsia="宋体" w:cs="宋体"/>
                <w:color w:val="000000"/>
                <w:kern w:val="2"/>
                <w:sz w:val="21"/>
                <w:szCs w:val="21"/>
                <w:highlight w:val="none"/>
                <w:lang w:val="en-US" w:eastAsia="zh-CN" w:bidi="ar-SA"/>
              </w:rPr>
            </w:pPr>
          </w:p>
        </w:tc>
        <w:tc>
          <w:tcPr>
            <w:tcW w:w="1134" w:type="dxa"/>
            <w:noWrap w:val="0"/>
            <w:vAlign w:val="center"/>
          </w:tcPr>
          <w:p w14:paraId="715A8693">
            <w:pPr>
              <w:widowControl w:val="0"/>
              <w:jc w:val="both"/>
              <w:rPr>
                <w:rFonts w:hint="eastAsia" w:ascii="宋体" w:hAnsi="宋体" w:eastAsia="宋体" w:cs="宋体"/>
                <w:color w:val="000000"/>
                <w:kern w:val="2"/>
                <w:sz w:val="21"/>
                <w:szCs w:val="21"/>
                <w:highlight w:val="none"/>
                <w:lang w:val="en-US" w:eastAsia="zh-CN" w:bidi="ar-SA"/>
              </w:rPr>
            </w:pPr>
          </w:p>
        </w:tc>
        <w:tc>
          <w:tcPr>
            <w:tcW w:w="1134" w:type="dxa"/>
            <w:noWrap w:val="0"/>
            <w:vAlign w:val="center"/>
          </w:tcPr>
          <w:p w14:paraId="22F6DD04">
            <w:pPr>
              <w:widowControl w:val="0"/>
              <w:jc w:val="both"/>
              <w:rPr>
                <w:rFonts w:hint="eastAsia" w:ascii="宋体" w:hAnsi="宋体" w:eastAsia="宋体" w:cs="宋体"/>
                <w:color w:val="000000"/>
                <w:kern w:val="2"/>
                <w:sz w:val="21"/>
                <w:szCs w:val="21"/>
                <w:highlight w:val="none"/>
                <w:lang w:val="en-US" w:eastAsia="zh-CN" w:bidi="ar-SA"/>
              </w:rPr>
            </w:pPr>
          </w:p>
        </w:tc>
      </w:tr>
      <w:tr w14:paraId="70A5D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noWrap w:val="0"/>
            <w:vAlign w:val="center"/>
          </w:tcPr>
          <w:p w14:paraId="19C07F2C">
            <w:pPr>
              <w:widowControl w:val="0"/>
              <w:jc w:val="both"/>
              <w:rPr>
                <w:rFonts w:hint="eastAsia" w:ascii="宋体" w:hAnsi="宋体" w:eastAsia="宋体" w:cs="宋体"/>
                <w:color w:val="000000"/>
                <w:kern w:val="2"/>
                <w:sz w:val="21"/>
                <w:szCs w:val="21"/>
                <w:highlight w:val="none"/>
                <w:lang w:val="en-US" w:eastAsia="zh-CN" w:bidi="ar-SA"/>
              </w:rPr>
            </w:pPr>
          </w:p>
        </w:tc>
        <w:tc>
          <w:tcPr>
            <w:tcW w:w="1843" w:type="dxa"/>
            <w:noWrap w:val="0"/>
            <w:vAlign w:val="center"/>
          </w:tcPr>
          <w:p w14:paraId="7CCD9E27">
            <w:pPr>
              <w:widowControl w:val="0"/>
              <w:jc w:val="both"/>
              <w:rPr>
                <w:rFonts w:hint="eastAsia" w:ascii="宋体" w:hAnsi="宋体" w:eastAsia="宋体" w:cs="宋体"/>
                <w:color w:val="000000"/>
                <w:kern w:val="2"/>
                <w:sz w:val="21"/>
                <w:szCs w:val="21"/>
                <w:highlight w:val="none"/>
                <w:lang w:val="en-US" w:eastAsia="zh-CN" w:bidi="ar-SA"/>
              </w:rPr>
            </w:pPr>
          </w:p>
        </w:tc>
        <w:tc>
          <w:tcPr>
            <w:tcW w:w="1559" w:type="dxa"/>
            <w:noWrap w:val="0"/>
            <w:vAlign w:val="center"/>
          </w:tcPr>
          <w:p w14:paraId="37ED4B0E">
            <w:pPr>
              <w:widowControl w:val="0"/>
              <w:jc w:val="both"/>
              <w:rPr>
                <w:rFonts w:hint="eastAsia" w:ascii="宋体" w:hAnsi="宋体" w:eastAsia="宋体" w:cs="宋体"/>
                <w:color w:val="000000"/>
                <w:kern w:val="2"/>
                <w:sz w:val="21"/>
                <w:szCs w:val="21"/>
                <w:highlight w:val="none"/>
                <w:lang w:val="en-US" w:eastAsia="zh-CN" w:bidi="ar-SA"/>
              </w:rPr>
            </w:pPr>
          </w:p>
        </w:tc>
        <w:tc>
          <w:tcPr>
            <w:tcW w:w="1701" w:type="dxa"/>
            <w:noWrap w:val="0"/>
            <w:vAlign w:val="center"/>
          </w:tcPr>
          <w:p w14:paraId="1E3CE7DC">
            <w:pPr>
              <w:widowControl w:val="0"/>
              <w:jc w:val="both"/>
              <w:rPr>
                <w:rFonts w:hint="eastAsia" w:ascii="宋体" w:hAnsi="宋体" w:eastAsia="宋体" w:cs="宋体"/>
                <w:color w:val="000000"/>
                <w:kern w:val="2"/>
                <w:sz w:val="21"/>
                <w:szCs w:val="21"/>
                <w:highlight w:val="none"/>
                <w:lang w:val="en-US" w:eastAsia="zh-CN" w:bidi="ar-SA"/>
              </w:rPr>
            </w:pPr>
          </w:p>
        </w:tc>
        <w:tc>
          <w:tcPr>
            <w:tcW w:w="709" w:type="dxa"/>
            <w:noWrap w:val="0"/>
            <w:vAlign w:val="center"/>
          </w:tcPr>
          <w:p w14:paraId="178FB366">
            <w:pPr>
              <w:widowControl w:val="0"/>
              <w:jc w:val="both"/>
              <w:rPr>
                <w:rFonts w:hint="eastAsia" w:ascii="宋体" w:hAnsi="宋体" w:eastAsia="宋体" w:cs="宋体"/>
                <w:color w:val="000000"/>
                <w:kern w:val="2"/>
                <w:sz w:val="21"/>
                <w:szCs w:val="21"/>
                <w:highlight w:val="none"/>
                <w:lang w:val="en-US" w:eastAsia="zh-CN" w:bidi="ar-SA"/>
              </w:rPr>
            </w:pPr>
          </w:p>
        </w:tc>
        <w:tc>
          <w:tcPr>
            <w:tcW w:w="709" w:type="dxa"/>
            <w:noWrap w:val="0"/>
            <w:vAlign w:val="center"/>
          </w:tcPr>
          <w:p w14:paraId="2D5FDC27">
            <w:pPr>
              <w:widowControl w:val="0"/>
              <w:jc w:val="both"/>
              <w:rPr>
                <w:rFonts w:hint="eastAsia" w:ascii="宋体" w:hAnsi="宋体" w:eastAsia="宋体" w:cs="宋体"/>
                <w:color w:val="000000"/>
                <w:kern w:val="2"/>
                <w:sz w:val="21"/>
                <w:szCs w:val="21"/>
                <w:highlight w:val="none"/>
                <w:lang w:val="en-US" w:eastAsia="zh-CN" w:bidi="ar-SA"/>
              </w:rPr>
            </w:pPr>
          </w:p>
        </w:tc>
        <w:tc>
          <w:tcPr>
            <w:tcW w:w="1134" w:type="dxa"/>
            <w:noWrap w:val="0"/>
            <w:vAlign w:val="center"/>
          </w:tcPr>
          <w:p w14:paraId="7880E940">
            <w:pPr>
              <w:widowControl w:val="0"/>
              <w:jc w:val="both"/>
              <w:rPr>
                <w:rFonts w:hint="eastAsia" w:ascii="宋体" w:hAnsi="宋体" w:eastAsia="宋体" w:cs="宋体"/>
                <w:color w:val="000000"/>
                <w:kern w:val="2"/>
                <w:sz w:val="21"/>
                <w:szCs w:val="21"/>
                <w:highlight w:val="none"/>
                <w:lang w:val="en-US" w:eastAsia="zh-CN" w:bidi="ar-SA"/>
              </w:rPr>
            </w:pPr>
          </w:p>
        </w:tc>
        <w:tc>
          <w:tcPr>
            <w:tcW w:w="1134" w:type="dxa"/>
            <w:noWrap w:val="0"/>
            <w:vAlign w:val="center"/>
          </w:tcPr>
          <w:p w14:paraId="0CA93B1D">
            <w:pPr>
              <w:widowControl w:val="0"/>
              <w:jc w:val="both"/>
              <w:rPr>
                <w:rFonts w:hint="eastAsia" w:ascii="宋体" w:hAnsi="宋体" w:eastAsia="宋体" w:cs="宋体"/>
                <w:color w:val="000000"/>
                <w:kern w:val="2"/>
                <w:sz w:val="21"/>
                <w:szCs w:val="21"/>
                <w:highlight w:val="none"/>
                <w:lang w:val="en-US" w:eastAsia="zh-CN" w:bidi="ar-SA"/>
              </w:rPr>
            </w:pPr>
          </w:p>
        </w:tc>
      </w:tr>
      <w:tr w14:paraId="2FA14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noWrap w:val="0"/>
            <w:vAlign w:val="center"/>
          </w:tcPr>
          <w:p w14:paraId="629F9FC5">
            <w:pPr>
              <w:widowControl w:val="0"/>
              <w:jc w:val="both"/>
              <w:rPr>
                <w:rFonts w:hint="eastAsia" w:ascii="宋体" w:hAnsi="宋体" w:eastAsia="宋体" w:cs="宋体"/>
                <w:color w:val="000000"/>
                <w:kern w:val="2"/>
                <w:sz w:val="21"/>
                <w:szCs w:val="21"/>
                <w:highlight w:val="none"/>
                <w:lang w:val="en-US" w:eastAsia="zh-CN" w:bidi="ar-SA"/>
              </w:rPr>
            </w:pPr>
          </w:p>
        </w:tc>
        <w:tc>
          <w:tcPr>
            <w:tcW w:w="6521" w:type="dxa"/>
            <w:gridSpan w:val="5"/>
            <w:noWrap w:val="0"/>
            <w:vAlign w:val="center"/>
          </w:tcPr>
          <w:p w14:paraId="7322AFFD">
            <w:pPr>
              <w:widowControl w:val="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b/>
                <w:bCs/>
                <w:color w:val="000000"/>
                <w:kern w:val="2"/>
                <w:sz w:val="21"/>
                <w:szCs w:val="21"/>
                <w:highlight w:val="none"/>
                <w:lang w:val="en-US" w:eastAsia="zh-CN" w:bidi="ar-SA"/>
              </w:rPr>
              <w:t>大写</w:t>
            </w:r>
          </w:p>
        </w:tc>
        <w:tc>
          <w:tcPr>
            <w:tcW w:w="2268" w:type="dxa"/>
            <w:gridSpan w:val="2"/>
            <w:noWrap w:val="0"/>
            <w:vAlign w:val="center"/>
          </w:tcPr>
          <w:p w14:paraId="3549F7FC">
            <w:pPr>
              <w:widowControl w:val="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b/>
                <w:bCs/>
                <w:color w:val="000000"/>
                <w:kern w:val="2"/>
                <w:sz w:val="21"/>
                <w:szCs w:val="21"/>
                <w:highlight w:val="none"/>
                <w:lang w:val="en-US" w:eastAsia="zh-CN" w:bidi="ar-SA"/>
              </w:rPr>
              <w:t>￥</w:t>
            </w:r>
          </w:p>
        </w:tc>
      </w:tr>
    </w:tbl>
    <w:p w14:paraId="2E69927E">
      <w:pPr>
        <w:widowControl w:val="0"/>
        <w:jc w:val="both"/>
        <w:rPr>
          <w:rFonts w:hint="eastAsia" w:ascii="宋体" w:hAnsi="宋体" w:eastAsia="宋体" w:cs="宋体"/>
          <w:color w:val="000000"/>
          <w:kern w:val="2"/>
          <w:sz w:val="21"/>
          <w:szCs w:val="21"/>
          <w:highlight w:val="none"/>
          <w:lang w:val="en-US" w:eastAsia="zh-CN" w:bidi="ar-SA"/>
        </w:rPr>
      </w:pPr>
    </w:p>
    <w:p w14:paraId="332104F4">
      <w:pPr>
        <w:pStyle w:val="6"/>
        <w:spacing w:before="120" w:beforeLines="50" w:after="120" w:afterLines="50" w:line="360" w:lineRule="auto"/>
        <w:ind w:firstLine="500" w:firstLineChars="166"/>
        <w:rPr>
          <w:rFonts w:hint="eastAsia" w:ascii="宋体" w:hAnsi="宋体" w:eastAsia="宋体" w:cs="宋体"/>
          <w:b/>
          <w:color w:val="000000"/>
          <w:sz w:val="30"/>
          <w:szCs w:val="30"/>
          <w:highlight w:val="none"/>
        </w:rPr>
      </w:pPr>
      <w:r>
        <w:rPr>
          <w:rFonts w:hint="eastAsia" w:ascii="宋体" w:hAnsi="宋体" w:eastAsia="宋体" w:cs="宋体"/>
          <w:b/>
          <w:color w:val="000000"/>
          <w:sz w:val="30"/>
          <w:szCs w:val="30"/>
          <w:highlight w:val="none"/>
        </w:rPr>
        <w:t>第二条 合同价款</w:t>
      </w:r>
    </w:p>
    <w:p w14:paraId="3142EBDB">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1.合同总价：人民币（大写）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8120159">
      <w:pPr>
        <w:pStyle w:val="6"/>
        <w:spacing w:line="360" w:lineRule="auto"/>
        <w:ind w:firstLine="525" w:firstLineChars="25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2.本合同总价是货物（产品）设计、材料、制造、包装、运输、安装、调试、检测、验收合格交付使用之前及保修期内保修服务与备用物件等其他有关各项的含税费用</w:t>
      </w:r>
      <w:r>
        <w:rPr>
          <w:rFonts w:hint="eastAsia" w:ascii="宋体" w:hAnsi="宋体" w:eastAsia="宋体" w:cs="宋体"/>
          <w:color w:val="000000"/>
          <w:sz w:val="21"/>
          <w:szCs w:val="21"/>
          <w:highlight w:val="none"/>
          <w:lang w:eastAsia="zh-CN"/>
        </w:rPr>
        <w:t>。</w:t>
      </w:r>
    </w:p>
    <w:p w14:paraId="01726597">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3.本合同总价还包含乙方应当提供的伴随服务和售后服务费用。</w:t>
      </w:r>
    </w:p>
    <w:p w14:paraId="304150F2">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4.本合同执行期间合同总价不变，甲方无须另向乙方支付本合同规定之外的其他任何费用。</w:t>
      </w:r>
    </w:p>
    <w:p w14:paraId="6746C9B9">
      <w:pPr>
        <w:pStyle w:val="6"/>
        <w:spacing w:before="120" w:beforeLines="50" w:after="120" w:afterLines="50" w:line="360" w:lineRule="auto"/>
        <w:ind w:firstLine="500" w:firstLineChars="166"/>
        <w:rPr>
          <w:rFonts w:hint="eastAsia" w:ascii="宋体" w:hAnsi="宋体" w:eastAsia="宋体" w:cs="宋体"/>
          <w:b/>
          <w:color w:val="000000"/>
          <w:sz w:val="30"/>
          <w:szCs w:val="30"/>
          <w:highlight w:val="none"/>
        </w:rPr>
      </w:pPr>
      <w:r>
        <w:rPr>
          <w:rFonts w:hint="eastAsia" w:ascii="宋体" w:hAnsi="宋体" w:eastAsia="宋体" w:cs="宋体"/>
          <w:b/>
          <w:color w:val="000000"/>
          <w:sz w:val="30"/>
          <w:szCs w:val="30"/>
          <w:highlight w:val="none"/>
        </w:rPr>
        <w:t>第三条 货款支付</w:t>
      </w:r>
    </w:p>
    <w:p w14:paraId="0E8457A5">
      <w:pPr>
        <w:pStyle w:val="6"/>
        <w:spacing w:line="360" w:lineRule="auto"/>
        <w:ind w:firstLine="525" w:firstLineChars="250"/>
        <w:rPr>
          <w:rFonts w:hint="default" w:ascii="宋体" w:hAnsi="宋体" w:eastAsia="宋体" w:cs="宋体"/>
          <w:color w:val="000000"/>
          <w:sz w:val="21"/>
          <w:szCs w:val="21"/>
          <w:highlight w:val="none"/>
          <w:u w:val="single"/>
          <w:lang w:val="en-US" w:eastAsia="zh-CN"/>
        </w:rPr>
      </w:pPr>
      <w:r>
        <w:rPr>
          <w:rFonts w:hint="eastAsia" w:ascii="宋体" w:hAnsi="宋体" w:eastAsia="宋体" w:cs="宋体"/>
          <w:color w:val="000000"/>
          <w:sz w:val="21"/>
          <w:szCs w:val="21"/>
          <w:highlight w:val="none"/>
        </w:rPr>
        <w:t>1.货物（产品）支付价款：</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cs="宋体"/>
          <w:color w:val="000000"/>
          <w:sz w:val="21"/>
          <w:szCs w:val="21"/>
          <w:highlight w:val="none"/>
          <w:u w:val="single"/>
          <w:lang w:val="en-US" w:eastAsia="zh-CN"/>
        </w:rPr>
        <w:t>合同签订后先支付100万元，验收审计后支付剩余金额</w:t>
      </w:r>
      <w:r>
        <w:rPr>
          <w:rFonts w:hint="eastAsia" w:ascii="宋体" w:hAnsi="宋体" w:eastAsia="宋体" w:cs="宋体"/>
          <w:color w:val="000000"/>
          <w:sz w:val="21"/>
          <w:szCs w:val="21"/>
          <w:highlight w:val="none"/>
          <w:u w:val="single"/>
          <w:lang w:val="en-US" w:eastAsia="zh-CN"/>
        </w:rPr>
        <w:t xml:space="preserve">。  </w:t>
      </w:r>
    </w:p>
    <w:p w14:paraId="5C0B574F">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2.乙方须向甲方出具合法有效的完税发票，甲方进行支付结算。</w:t>
      </w:r>
    </w:p>
    <w:p w14:paraId="0C53DA96">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3.结算方式：银行转账。</w:t>
      </w:r>
    </w:p>
    <w:p w14:paraId="50FE4CE4">
      <w:pPr>
        <w:pStyle w:val="6"/>
        <w:spacing w:before="120" w:beforeLines="50" w:after="120" w:afterLines="50" w:line="360" w:lineRule="auto"/>
        <w:ind w:firstLine="500" w:firstLineChars="166"/>
        <w:rPr>
          <w:rFonts w:hint="eastAsia" w:ascii="宋体" w:hAnsi="宋体" w:eastAsia="宋体" w:cs="宋体"/>
          <w:b/>
          <w:color w:val="000000"/>
          <w:sz w:val="30"/>
          <w:szCs w:val="30"/>
          <w:highlight w:val="none"/>
        </w:rPr>
      </w:pPr>
      <w:r>
        <w:rPr>
          <w:rFonts w:hint="eastAsia" w:ascii="宋体" w:hAnsi="宋体" w:eastAsia="宋体" w:cs="宋体"/>
          <w:b/>
          <w:color w:val="000000"/>
          <w:sz w:val="30"/>
          <w:szCs w:val="30"/>
          <w:highlight w:val="none"/>
        </w:rPr>
        <w:t>第四条 交货时间与地点</w:t>
      </w:r>
    </w:p>
    <w:p w14:paraId="040624B6">
      <w:pPr>
        <w:pStyle w:val="6"/>
        <w:spacing w:line="360" w:lineRule="auto"/>
        <w:ind w:firstLine="561"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乙方在合同签订生效之日起，按甲方指定时间、地点交货。</w:t>
      </w:r>
    </w:p>
    <w:p w14:paraId="0A0C016E">
      <w:pPr>
        <w:pStyle w:val="6"/>
        <w:spacing w:line="360" w:lineRule="auto"/>
        <w:ind w:firstLine="561" w:firstLineChars="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1.交货时间（期限）：</w:t>
      </w: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rPr>
        <w:t>日</w:t>
      </w:r>
      <w:r>
        <w:rPr>
          <w:rFonts w:hint="eastAsia" w:ascii="宋体" w:hAnsi="宋体" w:eastAsia="宋体" w:cs="宋体"/>
          <w:color w:val="000000"/>
          <w:sz w:val="21"/>
          <w:szCs w:val="21"/>
          <w:highlight w:val="none"/>
          <w:lang w:eastAsia="zh-CN"/>
        </w:rPr>
        <w:t>；</w:t>
      </w:r>
    </w:p>
    <w:p w14:paraId="58114D45">
      <w:pPr>
        <w:pStyle w:val="6"/>
        <w:spacing w:line="360" w:lineRule="auto"/>
        <w:ind w:firstLine="561" w:firstLineChars="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2.交货地点：采购人指定地点</w:t>
      </w:r>
      <w:r>
        <w:rPr>
          <w:rFonts w:hint="eastAsia" w:ascii="宋体" w:hAnsi="宋体" w:eastAsia="宋体" w:cs="宋体"/>
          <w:color w:val="000000"/>
          <w:sz w:val="21"/>
          <w:szCs w:val="21"/>
          <w:highlight w:val="none"/>
          <w:lang w:eastAsia="zh-CN"/>
        </w:rPr>
        <w:t>。</w:t>
      </w:r>
    </w:p>
    <w:p w14:paraId="49463BB0">
      <w:pPr>
        <w:pStyle w:val="6"/>
        <w:spacing w:before="120" w:beforeLines="50" w:after="120" w:afterLines="50" w:line="360" w:lineRule="auto"/>
        <w:ind w:firstLine="500" w:firstLineChars="166"/>
        <w:rPr>
          <w:rFonts w:hint="eastAsia" w:ascii="宋体" w:hAnsi="宋体" w:eastAsia="宋体" w:cs="宋体"/>
          <w:b/>
          <w:color w:val="000000"/>
          <w:sz w:val="30"/>
          <w:szCs w:val="30"/>
          <w:highlight w:val="none"/>
        </w:rPr>
      </w:pPr>
      <w:r>
        <w:rPr>
          <w:rFonts w:hint="eastAsia" w:ascii="宋体" w:hAnsi="宋体" w:eastAsia="宋体" w:cs="宋体"/>
          <w:b/>
          <w:color w:val="000000"/>
          <w:sz w:val="30"/>
          <w:szCs w:val="30"/>
          <w:highlight w:val="none"/>
        </w:rPr>
        <w:t>第五条 质量保证</w:t>
      </w:r>
    </w:p>
    <w:p w14:paraId="2EE47611">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1.乙方须提供全新的、未使用过的合格正品货物（含零部件、配件等），完全符合合同规定的质量、规格和性能的要求。</w:t>
      </w:r>
    </w:p>
    <w:p w14:paraId="06C7DC3C">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2.乙方提供的节能和环保产品必须是列入节能、环保标志产品品目清单中的产品。</w:t>
      </w:r>
    </w:p>
    <w:p w14:paraId="27AB79BF">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3.质量标准按照最新颁布的国家标准、行业标准或制造商企业标准确定，上述标准不一致的，以严格标准为准。</w:t>
      </w:r>
    </w:p>
    <w:p w14:paraId="175E4C53">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4.乙方所提供货物还应符合国家和陕西省有关安全、环保、节能之规定，“3C”认证的货物（产品）应加贴“3C”认证标志。</w:t>
      </w:r>
    </w:p>
    <w:p w14:paraId="461AF6AE">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5.货物制造质量出现问题，乙方应负责三包（包修、包换、包退），费用由乙方负担，甲方有权到乙方生产场地检查货物质量和生产进度。</w:t>
      </w:r>
    </w:p>
    <w:p w14:paraId="6C03B204">
      <w:pPr>
        <w:pStyle w:val="6"/>
        <w:spacing w:before="120" w:beforeLines="50" w:after="120" w:afterLines="50" w:line="360" w:lineRule="auto"/>
        <w:ind w:firstLine="602"/>
        <w:rPr>
          <w:rFonts w:hint="eastAsia" w:ascii="宋体" w:hAnsi="宋体" w:eastAsia="宋体" w:cs="宋体"/>
          <w:b/>
          <w:color w:val="000000"/>
          <w:sz w:val="30"/>
          <w:szCs w:val="30"/>
          <w:highlight w:val="none"/>
        </w:rPr>
      </w:pPr>
      <w:r>
        <w:rPr>
          <w:rFonts w:hint="eastAsia" w:ascii="宋体" w:hAnsi="宋体" w:eastAsia="宋体" w:cs="宋体"/>
          <w:b/>
          <w:color w:val="000000"/>
          <w:sz w:val="30"/>
          <w:szCs w:val="30"/>
          <w:highlight w:val="none"/>
        </w:rPr>
        <w:t>第六条 权利保证</w:t>
      </w:r>
    </w:p>
    <w:p w14:paraId="182A0C26">
      <w:pPr>
        <w:pStyle w:val="6"/>
        <w:spacing w:line="360" w:lineRule="auto"/>
        <w:ind w:left="141" w:leftChars="67"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1.乙方保证对其出售的货物享有合法的权利。</w:t>
      </w:r>
    </w:p>
    <w:p w14:paraId="3D6463EA">
      <w:pPr>
        <w:pStyle w:val="6"/>
        <w:spacing w:line="360" w:lineRule="auto"/>
        <w:ind w:left="141" w:leftChars="67"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2.乙方保证对其出售的货物上不存在任何未曾向甲方透露的担保物权，如抵押权、质押权、留置权。</w:t>
      </w:r>
    </w:p>
    <w:p w14:paraId="259EBC6D">
      <w:pPr>
        <w:pStyle w:val="6"/>
        <w:spacing w:line="360" w:lineRule="auto"/>
        <w:ind w:left="141" w:leftChars="67"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3.乙方保证对其出售的货物或其任何一部分没有侵犯第三方的专利权、版权、商标权或其他权利。</w:t>
      </w:r>
    </w:p>
    <w:p w14:paraId="206BCF03">
      <w:pPr>
        <w:pStyle w:val="6"/>
        <w:spacing w:line="360" w:lineRule="auto"/>
        <w:ind w:left="141" w:leftChars="67" w:firstLine="420"/>
        <w:rPr>
          <w:rFonts w:hint="eastAsia" w:ascii="宋体" w:hAnsi="宋体" w:eastAsia="宋体" w:cs="宋体"/>
          <w:b/>
          <w:color w:val="000000"/>
          <w:sz w:val="21"/>
          <w:szCs w:val="21"/>
          <w:highlight w:val="none"/>
        </w:rPr>
      </w:pPr>
      <w:r>
        <w:rPr>
          <w:rFonts w:hint="eastAsia" w:ascii="宋体" w:hAnsi="宋体" w:eastAsia="宋体" w:cs="宋体"/>
          <w:color w:val="000000"/>
          <w:sz w:val="21"/>
          <w:szCs w:val="21"/>
          <w:highlight w:val="none"/>
        </w:rPr>
        <w:t>4.乙方违反本条上述之权利保证造成甲方损失的，乙方承担全部责任。</w:t>
      </w:r>
    </w:p>
    <w:p w14:paraId="1170AB78">
      <w:pPr>
        <w:pStyle w:val="6"/>
        <w:spacing w:before="120" w:beforeLines="50" w:after="120" w:afterLines="50" w:line="360" w:lineRule="auto"/>
        <w:ind w:firstLine="500" w:firstLineChars="166"/>
        <w:rPr>
          <w:rFonts w:hint="eastAsia" w:ascii="宋体" w:hAnsi="宋体" w:eastAsia="宋体" w:cs="宋体"/>
          <w:color w:val="000000"/>
          <w:sz w:val="30"/>
          <w:szCs w:val="30"/>
          <w:highlight w:val="none"/>
        </w:rPr>
      </w:pPr>
      <w:r>
        <w:rPr>
          <w:rFonts w:hint="eastAsia" w:ascii="宋体" w:hAnsi="宋体" w:eastAsia="宋体" w:cs="宋体"/>
          <w:b/>
          <w:color w:val="000000"/>
          <w:sz w:val="30"/>
          <w:szCs w:val="30"/>
          <w:highlight w:val="none"/>
        </w:rPr>
        <w:t xml:space="preserve">第七条 包装要求与运输方式  </w:t>
      </w:r>
      <w:r>
        <w:rPr>
          <w:rFonts w:hint="eastAsia" w:ascii="宋体" w:hAnsi="宋体" w:eastAsia="宋体" w:cs="宋体"/>
          <w:color w:val="000000"/>
          <w:sz w:val="30"/>
          <w:szCs w:val="30"/>
          <w:highlight w:val="none"/>
        </w:rPr>
        <w:t xml:space="preserve"> </w:t>
      </w:r>
    </w:p>
    <w:p w14:paraId="70814D49">
      <w:pPr>
        <w:pStyle w:val="6"/>
        <w:spacing w:line="360" w:lineRule="auto"/>
        <w:ind w:left="141" w:leftChars="67" w:firstLine="315" w:firstLineChars="1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1.除合同另有规定外，乙方提供的全部货物均应按标准保护措施进行包装，该包装应适应于远距离运输、防潮、防震、防锈和防野蛮装卸，以确保货物安全运抵指定地点。</w:t>
      </w:r>
    </w:p>
    <w:p w14:paraId="339E9C6C">
      <w:pPr>
        <w:pStyle w:val="6"/>
        <w:spacing w:line="360" w:lineRule="auto"/>
        <w:ind w:left="141" w:leftChars="67" w:firstLine="315" w:firstLineChars="1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2.每一包装单元应附详细的装箱单和质量合格证。</w:t>
      </w:r>
    </w:p>
    <w:p w14:paraId="54232AB4">
      <w:pPr>
        <w:pStyle w:val="6"/>
        <w:spacing w:line="360" w:lineRule="auto"/>
        <w:ind w:left="141" w:leftChars="67" w:firstLine="315" w:firstLineChars="1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3.货物（产品）运输方式：</w:t>
      </w:r>
      <w:r>
        <w:rPr>
          <w:rFonts w:hint="eastAsia" w:ascii="宋体" w:hAnsi="宋体" w:eastAsia="宋体" w:cs="宋体"/>
          <w:color w:val="000000"/>
          <w:sz w:val="21"/>
          <w:szCs w:val="21"/>
          <w:highlight w:val="none"/>
          <w:u w:val="single"/>
        </w:rPr>
        <w:t>汽车运输</w:t>
      </w:r>
      <w:r>
        <w:rPr>
          <w:rFonts w:hint="eastAsia" w:ascii="宋体" w:hAnsi="宋体" w:eastAsia="宋体" w:cs="宋体"/>
          <w:color w:val="000000"/>
          <w:sz w:val="21"/>
          <w:szCs w:val="21"/>
          <w:highlight w:val="none"/>
        </w:rPr>
        <w:t>。</w:t>
      </w:r>
    </w:p>
    <w:p w14:paraId="1F7FFA58">
      <w:pPr>
        <w:pStyle w:val="6"/>
        <w:spacing w:line="360" w:lineRule="auto"/>
        <w:ind w:left="141" w:leftChars="67" w:firstLine="315" w:firstLineChars="1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4.乙方负责货物（产品）运输，货物运输的合理损耗及计算方法</w:t>
      </w:r>
      <w:r>
        <w:rPr>
          <w:rFonts w:hint="eastAsia" w:ascii="宋体" w:hAnsi="宋体" w:eastAsia="宋体" w:cs="宋体"/>
          <w:color w:val="000000"/>
          <w:sz w:val="21"/>
          <w:szCs w:val="21"/>
          <w:highlight w:val="none"/>
          <w:u w:val="single"/>
        </w:rPr>
        <w:t>乙方支付</w:t>
      </w:r>
      <w:r>
        <w:rPr>
          <w:rFonts w:hint="eastAsia" w:ascii="宋体" w:hAnsi="宋体" w:eastAsia="宋体" w:cs="宋体"/>
          <w:color w:val="000000"/>
          <w:sz w:val="21"/>
          <w:szCs w:val="21"/>
          <w:highlight w:val="none"/>
        </w:rPr>
        <w:t>。</w:t>
      </w:r>
    </w:p>
    <w:p w14:paraId="013DCCFE">
      <w:pPr>
        <w:pStyle w:val="6"/>
        <w:spacing w:before="120" w:beforeLines="50" w:after="120" w:afterLines="50" w:line="360" w:lineRule="auto"/>
        <w:ind w:firstLine="349" w:firstLineChars="116"/>
        <w:rPr>
          <w:rFonts w:hint="eastAsia" w:ascii="宋体" w:hAnsi="宋体" w:eastAsia="宋体" w:cs="宋体"/>
          <w:color w:val="000000"/>
          <w:sz w:val="30"/>
          <w:szCs w:val="30"/>
          <w:highlight w:val="none"/>
        </w:rPr>
      </w:pPr>
      <w:r>
        <w:rPr>
          <w:rFonts w:hint="eastAsia" w:ascii="宋体" w:hAnsi="宋体" w:eastAsia="宋体" w:cs="宋体"/>
          <w:b/>
          <w:color w:val="000000"/>
          <w:sz w:val="30"/>
          <w:szCs w:val="30"/>
          <w:highlight w:val="none"/>
        </w:rPr>
        <w:t>第八条 货物验收</w:t>
      </w:r>
    </w:p>
    <w:p w14:paraId="03AC6856">
      <w:pPr>
        <w:pStyle w:val="6"/>
        <w:spacing w:line="360" w:lineRule="auto"/>
        <w:ind w:left="141" w:leftChars="67" w:firstLine="315" w:firstLineChars="1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1.货物验收由甲方组织，乙方配合，并按下列程序进行：</w:t>
      </w:r>
    </w:p>
    <w:p w14:paraId="63DBC8BA">
      <w:pPr>
        <w:pStyle w:val="6"/>
        <w:spacing w:line="360" w:lineRule="auto"/>
        <w:ind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交货验收时，乙方须提供质检部门产品抽样检查合格的检测报告（或生产厂家自检报告）及所提供货物（产品）的合格证、装箱清单、配件、随机工具、用户使用手册（产品使用说明书）、保修卡等资料交付给甲方；</w:t>
      </w:r>
    </w:p>
    <w:p w14:paraId="237C39F2">
      <w:pPr>
        <w:pStyle w:val="6"/>
        <w:spacing w:line="360" w:lineRule="auto"/>
        <w:ind w:firstLine="359" w:firstLineChars="171"/>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（2）到货验收 ：货物到达后，按合同第一条款的货物清单和装箱单经行逐一核对，同时检查货物外观，是否有划痕或破损的，并做好相应记录；</w:t>
      </w:r>
    </w:p>
    <w:p w14:paraId="6B749E4C">
      <w:pPr>
        <w:pStyle w:val="6"/>
        <w:spacing w:line="360" w:lineRule="auto"/>
        <w:ind w:firstLine="359" w:firstLineChars="171"/>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按乙方承诺的产品包装环保材料进行验收，必要时乙方需提供检测报告，甲方发现虚假承诺时，将扣除总货款的5%作为处罚。</w:t>
      </w:r>
    </w:p>
    <w:p w14:paraId="24574634">
      <w:pPr>
        <w:pStyle w:val="6"/>
        <w:spacing w:line="360" w:lineRule="auto"/>
        <w:ind w:left="141" w:leftChars="67" w:firstLine="315" w:firstLineChars="1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（3）货物初验：乙方应在货物到货之日起，</w:t>
      </w:r>
      <w:r>
        <w:rPr>
          <w:rFonts w:hint="eastAsia" w:ascii="宋体" w:hAnsi="宋体" w:eastAsia="宋体" w:cs="宋体"/>
          <w:color w:val="000000"/>
          <w:sz w:val="21"/>
          <w:szCs w:val="21"/>
          <w:highlight w:val="none"/>
          <w:u w:val="single"/>
          <w:lang w:val="en-US" w:eastAsia="zh-CN"/>
        </w:rPr>
        <w:t>30</w:t>
      </w:r>
      <w:r>
        <w:rPr>
          <w:rFonts w:hint="eastAsia" w:ascii="宋体" w:hAnsi="宋体" w:eastAsia="宋体" w:cs="宋体"/>
          <w:color w:val="000000"/>
          <w:sz w:val="21"/>
          <w:szCs w:val="21"/>
          <w:highlight w:val="none"/>
        </w:rPr>
        <w:t>日内全部完成安装调试完毕；乙方安装调试完毕后</w:t>
      </w:r>
      <w:r>
        <w:rPr>
          <w:rFonts w:hint="eastAsia" w:ascii="宋体" w:hAnsi="宋体" w:eastAsia="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rPr>
        <w:t>日内完成初步验收；初步验收合格后，进入</w:t>
      </w:r>
      <w:r>
        <w:rPr>
          <w:rFonts w:hint="eastAsia" w:ascii="宋体" w:hAnsi="宋体" w:eastAsia="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rPr>
        <w:t>日试用期；试用期间发生重大质量问题，修复后试用期相应顺延；</w:t>
      </w:r>
    </w:p>
    <w:p w14:paraId="0AE4C861">
      <w:pPr>
        <w:pStyle w:val="6"/>
        <w:spacing w:line="360" w:lineRule="auto"/>
        <w:ind w:left="141" w:leftChars="67" w:firstLine="315" w:firstLineChars="1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（4）货物终验：试用期结束后</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rPr>
        <w:t>日内完成最终验收；</w:t>
      </w:r>
    </w:p>
    <w:p w14:paraId="549FBA10">
      <w:pPr>
        <w:pStyle w:val="6"/>
        <w:spacing w:line="360" w:lineRule="auto"/>
        <w:ind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（5）质量验收合格，双方签署质量验收报告。</w:t>
      </w:r>
    </w:p>
    <w:p w14:paraId="3F220E5A">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2.货物验收依据：</w:t>
      </w:r>
    </w:p>
    <w:p w14:paraId="4AB9A8C5">
      <w:pPr>
        <w:pStyle w:val="3"/>
        <w:spacing w:line="360" w:lineRule="auto"/>
        <w:ind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w:t>
      </w:r>
      <w:r>
        <w:rPr>
          <w:rFonts w:hint="eastAsia" w:ascii="宋体" w:hAnsi="宋体" w:eastAsia="宋体" w:cs="宋体"/>
          <w:color w:val="000000"/>
          <w:szCs w:val="21"/>
          <w:highlight w:val="none"/>
          <w:lang w:eastAsia="zh-CN"/>
        </w:rPr>
        <w:t>招标文件</w:t>
      </w:r>
      <w:r>
        <w:rPr>
          <w:rFonts w:hint="eastAsia" w:ascii="宋体" w:hAnsi="宋体" w:eastAsia="宋体" w:cs="宋体"/>
          <w:color w:val="000000"/>
          <w:szCs w:val="21"/>
          <w:highlight w:val="none"/>
        </w:rPr>
        <w:t>；</w:t>
      </w:r>
    </w:p>
    <w:p w14:paraId="57F57B0E">
      <w:pPr>
        <w:pStyle w:val="3"/>
        <w:spacing w:line="360" w:lineRule="auto"/>
        <w:ind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w:t>
      </w:r>
      <w:r>
        <w:rPr>
          <w:rFonts w:hint="eastAsia" w:ascii="宋体" w:hAnsi="宋体" w:eastAsia="宋体" w:cs="宋体"/>
          <w:color w:val="000000"/>
          <w:szCs w:val="21"/>
          <w:highlight w:val="none"/>
          <w:lang w:eastAsia="zh-CN"/>
        </w:rPr>
        <w:t>投标文件</w:t>
      </w:r>
      <w:r>
        <w:rPr>
          <w:rFonts w:hint="eastAsia" w:ascii="宋体" w:hAnsi="宋体" w:eastAsia="宋体" w:cs="宋体"/>
          <w:color w:val="000000"/>
          <w:szCs w:val="21"/>
          <w:highlight w:val="none"/>
        </w:rPr>
        <w:t>；</w:t>
      </w:r>
    </w:p>
    <w:p w14:paraId="4536B390">
      <w:pPr>
        <w:pStyle w:val="3"/>
        <w:spacing w:line="360" w:lineRule="auto"/>
        <w:ind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（3）采购合同及补充协议；</w:t>
      </w:r>
    </w:p>
    <w:p w14:paraId="4C242D67">
      <w:pPr>
        <w:pStyle w:val="6"/>
        <w:spacing w:line="360" w:lineRule="auto"/>
        <w:ind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（4）质检部门抽样检查货物（产品）合格的检测报告。</w:t>
      </w:r>
    </w:p>
    <w:p w14:paraId="03F06D76">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3.货物验收时发现问题的处理办法：</w:t>
      </w:r>
    </w:p>
    <w:p w14:paraId="516024DC">
      <w:pPr>
        <w:pStyle w:val="6"/>
        <w:spacing w:line="360" w:lineRule="auto"/>
        <w:ind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（1）乙方提供不符合</w:t>
      </w:r>
      <w:r>
        <w:rPr>
          <w:rFonts w:hint="eastAsia" w:ascii="宋体" w:hAnsi="宋体" w:eastAsia="宋体" w:cs="宋体"/>
          <w:color w:val="000000"/>
          <w:sz w:val="21"/>
          <w:szCs w:val="21"/>
          <w:highlight w:val="none"/>
          <w:lang w:eastAsia="zh-CN"/>
        </w:rPr>
        <w:t>招标文件</w:t>
      </w:r>
      <w:r>
        <w:rPr>
          <w:rFonts w:hint="eastAsia" w:ascii="宋体" w:hAnsi="宋体" w:eastAsia="宋体" w:cs="宋体"/>
          <w:color w:val="000000"/>
          <w:sz w:val="21"/>
          <w:szCs w:val="21"/>
          <w:highlight w:val="none"/>
        </w:rPr>
        <w:t>和本合同规定的货物（产品），甲方有权拒绝接受；</w:t>
      </w:r>
    </w:p>
    <w:p w14:paraId="3CD56E54">
      <w:pPr>
        <w:pStyle w:val="6"/>
        <w:spacing w:line="360" w:lineRule="auto"/>
        <w:ind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1DCCE155">
      <w:pPr>
        <w:pStyle w:val="6"/>
        <w:spacing w:line="360" w:lineRule="auto"/>
        <w:ind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（3）如货物经乙方</w:t>
      </w:r>
      <w:r>
        <w:rPr>
          <w:rFonts w:hint="eastAsia" w:ascii="宋体" w:hAnsi="宋体" w:eastAsia="宋体" w:cs="宋体"/>
          <w:color w:val="000000"/>
          <w:sz w:val="21"/>
          <w:szCs w:val="21"/>
          <w:highlight w:val="none"/>
          <w:u w:val="single"/>
          <w:lang w:val="en-US" w:eastAsia="zh-CN"/>
        </w:rPr>
        <w:t>3</w:t>
      </w:r>
      <w:r>
        <w:rPr>
          <w:rFonts w:hint="eastAsia" w:ascii="宋体" w:hAnsi="宋体" w:eastAsia="宋体" w:cs="宋体"/>
          <w:color w:val="000000"/>
          <w:sz w:val="21"/>
          <w:szCs w:val="21"/>
          <w:highlight w:val="none"/>
        </w:rPr>
        <w:t>次维修仍不能达到合同约定的质量标准，甲方有权退货，并视作乙方不能交付货物而须支付违约赔偿金给甲方，甲方还可依法追究乙方的违约责任； </w:t>
      </w:r>
    </w:p>
    <w:p w14:paraId="051E027B">
      <w:pPr>
        <w:pStyle w:val="6"/>
        <w:spacing w:line="360" w:lineRule="auto"/>
        <w:ind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（4）货物安装完成后</w:t>
      </w:r>
      <w:r>
        <w:rPr>
          <w:rFonts w:hint="eastAsia" w:ascii="宋体" w:hAnsi="宋体" w:eastAsia="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rPr>
        <w:t>日内，甲方无故不进行验收工作并已使用货物的，视同已安装调试完成并验收合格；</w:t>
      </w:r>
    </w:p>
    <w:p w14:paraId="0C0E90A6">
      <w:pPr>
        <w:pStyle w:val="6"/>
        <w:spacing w:line="360" w:lineRule="auto"/>
        <w:ind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（5）乙方不能完整交付货物及本条第一款规定的单证和工具的，必须负责补齐，否则视为未按合同约定交货；</w:t>
      </w:r>
    </w:p>
    <w:p w14:paraId="16FE188E">
      <w:pPr>
        <w:pStyle w:val="6"/>
        <w:spacing w:line="360" w:lineRule="auto"/>
        <w:ind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（6）超出合理磅差的处理方法：</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21FFF2A9">
      <w:pPr>
        <w:pStyle w:val="6"/>
        <w:spacing w:before="120" w:beforeLines="50" w:after="120" w:afterLines="50" w:line="360" w:lineRule="auto"/>
        <w:ind w:firstLine="500" w:firstLineChars="166"/>
        <w:rPr>
          <w:rFonts w:hint="eastAsia" w:ascii="宋体" w:hAnsi="宋体" w:eastAsia="宋体" w:cs="宋体"/>
          <w:b/>
          <w:color w:val="000000"/>
          <w:sz w:val="30"/>
          <w:szCs w:val="30"/>
          <w:highlight w:val="none"/>
        </w:rPr>
      </w:pPr>
      <w:r>
        <w:rPr>
          <w:rFonts w:hint="eastAsia" w:ascii="宋体" w:hAnsi="宋体" w:eastAsia="宋体" w:cs="宋体"/>
          <w:b/>
          <w:color w:val="000000"/>
          <w:sz w:val="30"/>
          <w:szCs w:val="30"/>
          <w:highlight w:val="none"/>
        </w:rPr>
        <w:t>第九条 售后服务</w:t>
      </w:r>
    </w:p>
    <w:p w14:paraId="218D494C">
      <w:pPr>
        <w:pStyle w:val="6"/>
        <w:spacing w:line="360" w:lineRule="auto"/>
        <w:ind w:firstLine="42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乙方应按照国家有关法律法规和“三包”规定以及</w:t>
      </w:r>
      <w:r>
        <w:rPr>
          <w:rFonts w:hint="eastAsia" w:ascii="宋体" w:hAnsi="宋体" w:eastAsia="宋体" w:cs="宋体"/>
          <w:color w:val="000000"/>
          <w:kern w:val="0"/>
          <w:sz w:val="21"/>
          <w:szCs w:val="21"/>
          <w:highlight w:val="none"/>
          <w:lang w:eastAsia="zh-CN"/>
        </w:rPr>
        <w:t>招标文件</w:t>
      </w:r>
      <w:r>
        <w:rPr>
          <w:rFonts w:hint="eastAsia" w:ascii="宋体" w:hAnsi="宋体" w:eastAsia="宋体" w:cs="宋体"/>
          <w:color w:val="000000"/>
          <w:kern w:val="0"/>
          <w:sz w:val="21"/>
          <w:szCs w:val="21"/>
          <w:highlight w:val="none"/>
        </w:rPr>
        <w:t>要求和</w:t>
      </w:r>
      <w:r>
        <w:rPr>
          <w:rFonts w:hint="eastAsia" w:ascii="宋体" w:hAnsi="宋体" w:eastAsia="宋体" w:cs="宋体"/>
          <w:color w:val="000000"/>
          <w:kern w:val="0"/>
          <w:sz w:val="21"/>
          <w:szCs w:val="21"/>
          <w:highlight w:val="none"/>
          <w:lang w:eastAsia="zh-CN"/>
        </w:rPr>
        <w:t>投标文件</w:t>
      </w:r>
      <w:r>
        <w:rPr>
          <w:rFonts w:hint="eastAsia" w:ascii="宋体" w:hAnsi="宋体" w:eastAsia="宋体" w:cs="宋体"/>
          <w:color w:val="000000"/>
          <w:kern w:val="0"/>
          <w:sz w:val="21"/>
          <w:szCs w:val="21"/>
          <w:highlight w:val="none"/>
        </w:rPr>
        <w:t>的“服务承诺”提供服务。</w:t>
      </w:r>
    </w:p>
    <w:p w14:paraId="15049E21">
      <w:pPr>
        <w:pStyle w:val="6"/>
        <w:spacing w:before="120" w:beforeLines="50" w:after="120" w:afterLines="50" w:line="360" w:lineRule="auto"/>
        <w:ind w:firstLine="500" w:firstLineChars="166"/>
        <w:rPr>
          <w:rFonts w:hint="eastAsia" w:ascii="宋体" w:hAnsi="宋体" w:eastAsia="宋体" w:cs="宋体"/>
          <w:b/>
          <w:color w:val="000000"/>
          <w:sz w:val="30"/>
          <w:szCs w:val="30"/>
          <w:highlight w:val="none"/>
        </w:rPr>
      </w:pPr>
      <w:r>
        <w:rPr>
          <w:rFonts w:hint="eastAsia" w:ascii="宋体" w:hAnsi="宋体" w:eastAsia="宋体" w:cs="宋体"/>
          <w:b/>
          <w:color w:val="000000"/>
          <w:kern w:val="0"/>
          <w:sz w:val="30"/>
          <w:szCs w:val="30"/>
          <w:highlight w:val="none"/>
        </w:rPr>
        <w:t xml:space="preserve">第十条 </w:t>
      </w:r>
      <w:r>
        <w:rPr>
          <w:rFonts w:hint="eastAsia" w:ascii="宋体" w:hAnsi="宋体" w:eastAsia="宋体" w:cs="宋体"/>
          <w:b/>
          <w:color w:val="000000"/>
          <w:sz w:val="30"/>
          <w:szCs w:val="30"/>
          <w:highlight w:val="none"/>
        </w:rPr>
        <w:t>履约保证金</w:t>
      </w:r>
    </w:p>
    <w:p w14:paraId="41BEF41E">
      <w:pPr>
        <w:widowControl/>
        <w:spacing w:line="360" w:lineRule="auto"/>
        <w:ind w:firstLine="525" w:firstLineChars="250"/>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1.乙方在签订本合同之前，向甲方提交履约保证金人民币（大写）</w:t>
      </w:r>
      <w:r>
        <w:rPr>
          <w:rFonts w:hint="eastAsia" w:ascii="宋体" w:hAnsi="宋体" w:eastAsia="宋体" w:cs="宋体"/>
          <w:color w:val="000000"/>
          <w:kern w:val="0"/>
          <w:szCs w:val="21"/>
          <w:highlight w:val="none"/>
          <w:u w:val="single"/>
          <w:lang w:val="en-US" w:eastAsia="zh-CN"/>
        </w:rPr>
        <w:t xml:space="preserve">  </w:t>
      </w:r>
      <w:r>
        <w:rPr>
          <w:rFonts w:hint="eastAsia" w:ascii="宋体" w:hAnsi="宋体" w:cs="宋体"/>
          <w:color w:val="000000"/>
          <w:kern w:val="0"/>
          <w:szCs w:val="21"/>
          <w:highlight w:val="none"/>
          <w:u w:val="single"/>
          <w:lang w:val="en-US" w:eastAsia="zh-CN"/>
        </w:rPr>
        <w:t>/</w:t>
      </w:r>
      <w:r>
        <w:rPr>
          <w:rFonts w:hint="eastAsia" w:ascii="宋体" w:hAnsi="宋体" w:eastAsia="宋体" w:cs="宋体"/>
          <w:color w:val="000000"/>
          <w:kern w:val="0"/>
          <w:szCs w:val="21"/>
          <w:highlight w:val="none"/>
          <w:u w:val="single"/>
          <w:lang w:val="en-US" w:eastAsia="zh-CN"/>
        </w:rPr>
        <w:t xml:space="preserve">  </w:t>
      </w:r>
      <w:r>
        <w:rPr>
          <w:rFonts w:hint="eastAsia" w:ascii="宋体" w:hAnsi="宋体" w:eastAsia="宋体" w:cs="宋体"/>
          <w:color w:val="000000"/>
          <w:kern w:val="0"/>
          <w:szCs w:val="21"/>
          <w:highlight w:val="none"/>
        </w:rPr>
        <w:t>元，￥</w:t>
      </w:r>
      <w:r>
        <w:rPr>
          <w:rFonts w:hint="eastAsia" w:ascii="宋体" w:hAnsi="宋体" w:eastAsia="宋体" w:cs="宋体"/>
          <w:color w:val="000000"/>
          <w:kern w:val="0"/>
          <w:szCs w:val="21"/>
          <w:highlight w:val="none"/>
          <w:u w:val="single"/>
        </w:rPr>
        <w:t xml:space="preserve"> </w:t>
      </w:r>
      <w:r>
        <w:rPr>
          <w:rFonts w:hint="eastAsia" w:ascii="宋体" w:hAnsi="宋体" w:cs="宋体"/>
          <w:color w:val="000000"/>
          <w:kern w:val="0"/>
          <w:szCs w:val="21"/>
          <w:highlight w:val="none"/>
          <w:u w:val="single"/>
          <w:lang w:val="en-US" w:eastAsia="zh-CN"/>
        </w:rPr>
        <w:t>/</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rPr>
        <w:t>。</w:t>
      </w:r>
    </w:p>
    <w:p w14:paraId="34A8E16D">
      <w:pPr>
        <w:widowControl/>
        <w:spacing w:line="360" w:lineRule="auto"/>
        <w:ind w:firstLine="525" w:firstLineChars="250"/>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2.履约保证金的有效期为乙方承诺的货物（产品）质保期。</w:t>
      </w:r>
    </w:p>
    <w:p w14:paraId="45AD1F74">
      <w:pPr>
        <w:widowControl/>
        <w:spacing w:line="360" w:lineRule="auto"/>
        <w:ind w:firstLine="525" w:firstLineChars="250"/>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3.如乙方未能履行合同规定的义务，甲方有权从履约保证金中取得补偿。</w:t>
      </w:r>
      <w:bookmarkStart w:id="0" w:name="_GoBack"/>
      <w:bookmarkEnd w:id="0"/>
    </w:p>
    <w:p w14:paraId="4D230A3C">
      <w:pPr>
        <w:widowControl/>
        <w:spacing w:line="360" w:lineRule="auto"/>
        <w:ind w:firstLine="525" w:firstLineChars="250"/>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4.</w:t>
      </w:r>
      <w:r>
        <w:rPr>
          <w:rFonts w:hint="eastAsia" w:ascii="宋体" w:hAnsi="宋体" w:eastAsia="宋体" w:cs="宋体"/>
          <w:color w:val="000000"/>
          <w:szCs w:val="21"/>
          <w:highlight w:val="none"/>
        </w:rPr>
        <w:t>货物（产品）质保期结束后，甲方财务部门接到甲方确认本合同货物质量与服务等约定事项已经履行完毕的正式书面文件后的</w:t>
      </w:r>
      <w:r>
        <w:rPr>
          <w:rFonts w:hint="eastAsia" w:ascii="宋体" w:hAnsi="宋体" w:eastAsia="宋体" w:cs="宋体"/>
          <w:color w:val="000000"/>
          <w:szCs w:val="21"/>
          <w:highlight w:val="none"/>
          <w:u w:val="single"/>
          <w:lang w:val="en-US" w:eastAsia="zh-CN"/>
        </w:rPr>
        <w:t>30</w:t>
      </w:r>
      <w:r>
        <w:rPr>
          <w:rFonts w:hint="eastAsia" w:ascii="宋体" w:hAnsi="宋体" w:eastAsia="宋体" w:cs="宋体"/>
          <w:color w:val="000000"/>
          <w:szCs w:val="21"/>
          <w:highlight w:val="none"/>
        </w:rPr>
        <w:t>日内，向乙方退还履约保证金。</w:t>
      </w:r>
    </w:p>
    <w:p w14:paraId="578B6326">
      <w:pPr>
        <w:widowControl/>
        <w:spacing w:line="360" w:lineRule="auto"/>
        <w:ind w:firstLine="525" w:firstLineChars="250"/>
        <w:jc w:val="left"/>
        <w:rPr>
          <w:rFonts w:hint="eastAsia" w:ascii="宋体" w:hAnsi="宋体" w:eastAsia="宋体" w:cs="宋体"/>
          <w:bCs/>
          <w:color w:val="000000"/>
          <w:szCs w:val="21"/>
          <w:highlight w:val="none"/>
        </w:rPr>
      </w:pPr>
      <w:r>
        <w:rPr>
          <w:rFonts w:hint="eastAsia" w:ascii="宋体" w:hAnsi="宋体" w:eastAsia="宋体" w:cs="宋体"/>
          <w:color w:val="000000"/>
          <w:szCs w:val="21"/>
          <w:highlight w:val="none"/>
        </w:rPr>
        <w:t>5.乙方可以履约担保函的形式交纳履约保证金。</w:t>
      </w:r>
    </w:p>
    <w:p w14:paraId="7C0D6536">
      <w:pPr>
        <w:pStyle w:val="6"/>
        <w:spacing w:before="120" w:beforeLines="50" w:after="120" w:afterLines="50" w:line="360" w:lineRule="auto"/>
        <w:ind w:firstLine="500" w:firstLineChars="166"/>
        <w:rPr>
          <w:rFonts w:hint="eastAsia" w:ascii="宋体" w:hAnsi="宋体" w:eastAsia="宋体" w:cs="宋体"/>
          <w:color w:val="000000"/>
          <w:sz w:val="30"/>
          <w:szCs w:val="30"/>
          <w:highlight w:val="none"/>
        </w:rPr>
      </w:pPr>
      <w:r>
        <w:rPr>
          <w:rFonts w:hint="eastAsia" w:ascii="宋体" w:hAnsi="宋体" w:eastAsia="宋体" w:cs="宋体"/>
          <w:b/>
          <w:color w:val="000000"/>
          <w:sz w:val="30"/>
          <w:szCs w:val="30"/>
          <w:highlight w:val="none"/>
        </w:rPr>
        <w:t>第十一条 违约责任</w:t>
      </w:r>
    </w:p>
    <w:p w14:paraId="540F2F62">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1.甲方违约责任</w:t>
      </w:r>
    </w:p>
    <w:p w14:paraId="64472CF8">
      <w:pPr>
        <w:pStyle w:val="6"/>
        <w:spacing w:line="360" w:lineRule="auto"/>
        <w:ind w:firstLine="359" w:firstLineChars="171"/>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（1）甲方无正当理由拒收货物的，甲方应偿付合同总价</w:t>
      </w:r>
      <w:r>
        <w:rPr>
          <w:rFonts w:hint="eastAsia" w:ascii="宋体" w:hAnsi="宋体" w:eastAsia="宋体" w:cs="宋体"/>
          <w:color w:val="000000"/>
          <w:sz w:val="21"/>
          <w:szCs w:val="21"/>
          <w:highlight w:val="none"/>
          <w:u w:val="single"/>
          <w:lang w:val="en-US" w:eastAsia="zh-CN"/>
        </w:rPr>
        <w:t>3</w:t>
      </w:r>
      <w:r>
        <w:rPr>
          <w:rFonts w:hint="eastAsia" w:ascii="宋体" w:hAnsi="宋体" w:eastAsia="宋体" w:cs="宋体"/>
          <w:color w:val="000000"/>
          <w:sz w:val="21"/>
          <w:szCs w:val="21"/>
          <w:highlight w:val="none"/>
        </w:rPr>
        <w:t>%的违约金；</w:t>
      </w:r>
    </w:p>
    <w:p w14:paraId="2ACF81EB">
      <w:pPr>
        <w:pStyle w:val="6"/>
        <w:spacing w:line="360" w:lineRule="auto"/>
        <w:ind w:firstLine="359" w:firstLineChars="171"/>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（2）甲方逾期支付货款的，除应及时付足货款外，应向乙方每天支付欠款总额</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rPr>
        <w:t>‰的滞纳金；但累计滞纳金总额不超过欠款总额的</w:t>
      </w:r>
      <w:r>
        <w:rPr>
          <w:rFonts w:hint="eastAsia" w:ascii="宋体" w:hAnsi="宋体" w:eastAsia="宋体" w:cs="宋体"/>
          <w:color w:val="000000"/>
          <w:sz w:val="21"/>
          <w:szCs w:val="21"/>
          <w:highlight w:val="none"/>
          <w:u w:val="single"/>
          <w:lang w:val="en-US" w:eastAsia="zh-CN"/>
        </w:rPr>
        <w:t>10</w:t>
      </w:r>
      <w:r>
        <w:rPr>
          <w:rFonts w:hint="eastAsia" w:ascii="宋体" w:hAnsi="宋体" w:eastAsia="宋体" w:cs="宋体"/>
          <w:color w:val="000000"/>
          <w:sz w:val="21"/>
          <w:szCs w:val="21"/>
          <w:highlight w:val="none"/>
        </w:rPr>
        <w:t>%。</w:t>
      </w:r>
    </w:p>
    <w:p w14:paraId="4FFC00AD">
      <w:pPr>
        <w:pStyle w:val="6"/>
        <w:spacing w:line="360" w:lineRule="auto"/>
        <w:ind w:firstLine="525" w:firstLineChars="25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2.乙方违约责任</w:t>
      </w:r>
    </w:p>
    <w:p w14:paraId="7A97310A">
      <w:pPr>
        <w:widowControl/>
        <w:spacing w:line="360" w:lineRule="auto"/>
        <w:ind w:firstLine="420" w:firstLineChars="200"/>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（1）如乙方不能交付货物，甲方有权扣留全部履约保证金；同时乙方应向甲方支付合同总价</w:t>
      </w:r>
      <w:r>
        <w:rPr>
          <w:rFonts w:hint="eastAsia" w:ascii="宋体" w:hAnsi="宋体" w:eastAsia="宋体" w:cs="宋体"/>
          <w:color w:val="000000"/>
          <w:kern w:val="0"/>
          <w:szCs w:val="21"/>
          <w:highlight w:val="none"/>
          <w:u w:val="single"/>
          <w:lang w:val="en-US" w:eastAsia="zh-CN"/>
        </w:rPr>
        <w:t>1</w:t>
      </w:r>
      <w:r>
        <w:rPr>
          <w:rFonts w:hint="eastAsia" w:ascii="宋体" w:hAnsi="宋体" w:eastAsia="宋体" w:cs="宋体"/>
          <w:color w:val="000000"/>
          <w:kern w:val="0"/>
          <w:szCs w:val="21"/>
          <w:highlight w:val="none"/>
        </w:rPr>
        <w:t>％的违约金；</w:t>
      </w:r>
    </w:p>
    <w:p w14:paraId="13876FD6">
      <w:pPr>
        <w:widowControl/>
        <w:spacing w:line="360" w:lineRule="auto"/>
        <w:ind w:firstLine="420" w:firstLineChars="200"/>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（2）乙方逾期交付货物的，每逾期1天，乙方向甲方偿付逾期交货部分货款总额的</w:t>
      </w:r>
      <w:r>
        <w:rPr>
          <w:rFonts w:hint="eastAsia" w:ascii="宋体" w:hAnsi="宋体" w:eastAsia="宋体" w:cs="宋体"/>
          <w:color w:val="000000"/>
          <w:kern w:val="0"/>
          <w:szCs w:val="21"/>
          <w:highlight w:val="none"/>
          <w:u w:val="single"/>
          <w:lang w:val="en-US" w:eastAsia="zh-CN"/>
        </w:rPr>
        <w:t>5</w:t>
      </w:r>
      <w:r>
        <w:rPr>
          <w:rFonts w:hint="eastAsia" w:ascii="宋体" w:hAnsi="宋体" w:eastAsia="宋体" w:cs="宋体"/>
          <w:color w:val="000000"/>
          <w:kern w:val="0"/>
          <w:szCs w:val="21"/>
          <w:highlight w:val="none"/>
        </w:rPr>
        <w:t>‰的滞纳金。如乙方逾期交货达</w:t>
      </w:r>
      <w:r>
        <w:rPr>
          <w:rFonts w:hint="eastAsia" w:ascii="宋体" w:hAnsi="宋体" w:eastAsia="宋体" w:cs="宋体"/>
          <w:color w:val="000000"/>
          <w:kern w:val="0"/>
          <w:szCs w:val="21"/>
          <w:highlight w:val="none"/>
          <w:u w:val="single"/>
          <w:lang w:val="en-US" w:eastAsia="zh-CN"/>
        </w:rPr>
        <w:t>10</w:t>
      </w:r>
      <w:r>
        <w:rPr>
          <w:rFonts w:hint="eastAsia" w:ascii="宋体" w:hAnsi="宋体" w:eastAsia="宋体" w:cs="宋体"/>
          <w:color w:val="000000"/>
          <w:kern w:val="0"/>
          <w:szCs w:val="21"/>
          <w:highlight w:val="none"/>
        </w:rPr>
        <w:t>天，甲方有权解除合同，解除合同的通知自到达乙方时生效；</w:t>
      </w:r>
    </w:p>
    <w:p w14:paraId="66CAD16B">
      <w:pPr>
        <w:widowControl/>
        <w:spacing w:line="360" w:lineRule="auto"/>
        <w:ind w:firstLine="420" w:firstLineChars="200"/>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（3）乙方所交付的货物品种、型号、规格不符合合同规定的，甲方有权拒收。甲方拒收的，乙方应向甲方支付货款总额</w:t>
      </w:r>
      <w:r>
        <w:rPr>
          <w:rFonts w:hint="eastAsia" w:ascii="宋体" w:hAnsi="宋体" w:eastAsia="宋体" w:cs="宋体"/>
          <w:color w:val="000000"/>
          <w:kern w:val="0"/>
          <w:szCs w:val="21"/>
          <w:highlight w:val="none"/>
          <w:u w:val="single"/>
          <w:lang w:val="en-US" w:eastAsia="zh-CN"/>
        </w:rPr>
        <w:t>5</w:t>
      </w:r>
      <w:r>
        <w:rPr>
          <w:rFonts w:hint="eastAsia" w:ascii="宋体" w:hAnsi="宋体" w:eastAsia="宋体" w:cs="宋体"/>
          <w:color w:val="000000"/>
          <w:kern w:val="0"/>
          <w:szCs w:val="21"/>
          <w:highlight w:val="none"/>
        </w:rPr>
        <w:t>%的违约金；</w:t>
      </w:r>
    </w:p>
    <w:p w14:paraId="0B316821">
      <w:pPr>
        <w:pStyle w:val="6"/>
        <w:spacing w:line="360" w:lineRule="auto"/>
        <w:ind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color w:val="000000"/>
          <w:sz w:val="21"/>
          <w:szCs w:val="21"/>
          <w:highlight w:val="none"/>
          <w:u w:val="single"/>
          <w:lang w:val="en-US" w:eastAsia="zh-CN"/>
        </w:rPr>
        <w:t>10</w:t>
      </w:r>
      <w:r>
        <w:rPr>
          <w:rFonts w:hint="eastAsia" w:ascii="宋体" w:hAnsi="宋体" w:eastAsia="宋体" w:cs="宋体"/>
          <w:color w:val="000000"/>
          <w:sz w:val="21"/>
          <w:szCs w:val="21"/>
          <w:highlight w:val="none"/>
        </w:rPr>
        <w:t>天内无条件更换合格的货物，如逾期不能更换合格的货物，甲方有权终止本合同，乙方应另向甲方支付货款总额的</w:t>
      </w:r>
      <w:r>
        <w:rPr>
          <w:rFonts w:hint="eastAsia" w:ascii="宋体" w:hAnsi="宋体" w:eastAsia="宋体" w:cs="宋体"/>
          <w:color w:val="000000"/>
          <w:sz w:val="21"/>
          <w:szCs w:val="21"/>
          <w:highlight w:val="none"/>
          <w:u w:val="single"/>
          <w:lang w:val="en-US" w:eastAsia="zh-CN"/>
        </w:rPr>
        <w:t>0.5</w:t>
      </w:r>
      <w:r>
        <w:rPr>
          <w:rFonts w:hint="eastAsia" w:ascii="宋体" w:hAnsi="宋体" w:eastAsia="宋体" w:cs="宋体"/>
          <w:color w:val="000000"/>
          <w:sz w:val="21"/>
          <w:szCs w:val="21"/>
          <w:highlight w:val="none"/>
        </w:rPr>
        <w:t>%的违约金；</w:t>
      </w:r>
    </w:p>
    <w:p w14:paraId="2C05449E">
      <w:pPr>
        <w:pStyle w:val="6"/>
        <w:spacing w:line="360" w:lineRule="auto"/>
        <w:ind w:firstLine="42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54924E29">
      <w:pPr>
        <w:pStyle w:val="6"/>
        <w:spacing w:line="360" w:lineRule="auto"/>
        <w:ind w:firstLine="42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（6）乙方未按本合同第十条的规定向甲方交付履约保证金的，应按应交付履约保证金的</w:t>
      </w:r>
      <w:r>
        <w:rPr>
          <w:rFonts w:hint="eastAsia" w:ascii="宋体" w:hAnsi="宋体" w:eastAsia="宋体" w:cs="宋体"/>
          <w:color w:val="000000"/>
          <w:kern w:val="0"/>
          <w:sz w:val="21"/>
          <w:szCs w:val="21"/>
          <w:highlight w:val="none"/>
          <w:u w:val="single"/>
          <w:lang w:val="en-US" w:eastAsia="zh-CN"/>
        </w:rPr>
        <w:t>0.3</w:t>
      </w:r>
      <w:r>
        <w:rPr>
          <w:rFonts w:hint="eastAsia" w:ascii="宋体" w:hAnsi="宋体" w:eastAsia="宋体" w:cs="宋体"/>
          <w:color w:val="000000"/>
          <w:kern w:val="0"/>
          <w:sz w:val="21"/>
          <w:szCs w:val="21"/>
          <w:highlight w:val="none"/>
        </w:rPr>
        <w:t>%向甲方支付违约金，该违约金的支付不影响乙方应承担的其他违约责任；</w:t>
      </w:r>
    </w:p>
    <w:p w14:paraId="7F453C87">
      <w:pPr>
        <w:pStyle w:val="6"/>
        <w:spacing w:line="360" w:lineRule="auto"/>
        <w:ind w:firstLine="42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（7）乙方未按本合同的规定和“服务承诺”提供伴随服务/售后服务的，应按合同总价款的</w:t>
      </w:r>
      <w:r>
        <w:rPr>
          <w:rFonts w:hint="eastAsia" w:ascii="宋体" w:hAnsi="宋体" w:eastAsia="宋体" w:cs="宋体"/>
          <w:color w:val="000000"/>
          <w:kern w:val="0"/>
          <w:sz w:val="21"/>
          <w:szCs w:val="21"/>
          <w:highlight w:val="none"/>
          <w:u w:val="single"/>
          <w:lang w:val="en-US" w:eastAsia="zh-CN"/>
        </w:rPr>
        <w:t>0.3</w:t>
      </w:r>
      <w:r>
        <w:rPr>
          <w:rFonts w:hint="eastAsia" w:ascii="宋体" w:hAnsi="宋体" w:eastAsia="宋体" w:cs="宋体"/>
          <w:color w:val="000000"/>
          <w:kern w:val="0"/>
          <w:sz w:val="21"/>
          <w:szCs w:val="21"/>
          <w:highlight w:val="none"/>
        </w:rPr>
        <w:t>%向甲方承担违约责任；</w:t>
      </w:r>
    </w:p>
    <w:p w14:paraId="4DDD6C1F">
      <w:pPr>
        <w:pStyle w:val="6"/>
        <w:spacing w:line="360" w:lineRule="auto"/>
        <w:ind w:firstLine="42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3857802F">
      <w:pPr>
        <w:pStyle w:val="6"/>
        <w:spacing w:line="360" w:lineRule="auto"/>
        <w:ind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（9）乙方偿付的违约金不足以弥补甲方损失的，还应按甲方损失尚未弥补的部分，支付赔偿金给甲方。</w:t>
      </w:r>
    </w:p>
    <w:p w14:paraId="4F434CF5">
      <w:pPr>
        <w:widowControl/>
        <w:spacing w:before="120" w:beforeLines="50" w:after="120" w:afterLines="50" w:line="360" w:lineRule="auto"/>
        <w:ind w:firstLine="452" w:firstLineChars="150"/>
        <w:jc w:val="left"/>
        <w:rPr>
          <w:rFonts w:hint="eastAsia" w:ascii="宋体" w:hAnsi="宋体" w:eastAsia="宋体" w:cs="宋体"/>
          <w:color w:val="000000"/>
          <w:kern w:val="0"/>
          <w:sz w:val="30"/>
          <w:szCs w:val="30"/>
          <w:highlight w:val="none"/>
        </w:rPr>
      </w:pPr>
      <w:r>
        <w:rPr>
          <w:rFonts w:hint="eastAsia" w:ascii="宋体" w:hAnsi="宋体" w:eastAsia="宋体" w:cs="宋体"/>
          <w:b/>
          <w:color w:val="000000"/>
          <w:sz w:val="30"/>
          <w:szCs w:val="30"/>
          <w:highlight w:val="none"/>
        </w:rPr>
        <w:t xml:space="preserve">第十二条 </w:t>
      </w:r>
      <w:r>
        <w:rPr>
          <w:rFonts w:hint="eastAsia" w:ascii="宋体" w:hAnsi="宋体" w:eastAsia="宋体" w:cs="宋体"/>
          <w:b/>
          <w:color w:val="000000"/>
          <w:kern w:val="0"/>
          <w:sz w:val="30"/>
          <w:szCs w:val="30"/>
          <w:highlight w:val="none"/>
        </w:rPr>
        <w:t>合同的变更和终止</w:t>
      </w:r>
    </w:p>
    <w:p w14:paraId="0DC8A626">
      <w:pPr>
        <w:widowControl/>
        <w:spacing w:line="360" w:lineRule="auto"/>
        <w:ind w:firstLine="420" w:firstLineChars="200"/>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除《中华人民共和国政府采购法》第49条、第50条第二款规定的情形外，本合同一经签订，甲乙双方不得擅自变更、中止或终止合同。</w:t>
      </w:r>
    </w:p>
    <w:p w14:paraId="04047759">
      <w:pPr>
        <w:widowControl/>
        <w:spacing w:before="120" w:beforeLines="50" w:after="120" w:afterLines="50" w:line="360" w:lineRule="auto"/>
        <w:ind w:firstLine="452" w:firstLineChars="150"/>
        <w:jc w:val="left"/>
        <w:rPr>
          <w:rFonts w:hint="eastAsia" w:ascii="宋体" w:hAnsi="宋体" w:eastAsia="宋体" w:cs="宋体"/>
          <w:b/>
          <w:color w:val="000000"/>
          <w:kern w:val="0"/>
          <w:sz w:val="30"/>
          <w:szCs w:val="30"/>
          <w:highlight w:val="none"/>
        </w:rPr>
      </w:pPr>
      <w:r>
        <w:rPr>
          <w:rFonts w:hint="eastAsia" w:ascii="宋体" w:hAnsi="宋体" w:eastAsia="宋体" w:cs="宋体"/>
          <w:b/>
          <w:color w:val="000000"/>
          <w:kern w:val="0"/>
          <w:sz w:val="30"/>
          <w:szCs w:val="30"/>
          <w:highlight w:val="none"/>
        </w:rPr>
        <w:t>第十三条 争议的解决</w:t>
      </w:r>
    </w:p>
    <w:p w14:paraId="768C0FC7">
      <w:pPr>
        <w:pStyle w:val="6"/>
        <w:spacing w:line="360" w:lineRule="auto"/>
        <w:ind w:firstLine="42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1.因货物的质量问题发生争议，由质量技术监督部门或其指定的质量鉴定机构进行质量鉴定。货物符合标准的，鉴定费由甲方承担；货物不符合质量标准的，鉴定费由乙方承担。</w:t>
      </w:r>
    </w:p>
    <w:p w14:paraId="1388DC7B">
      <w:pPr>
        <w:pStyle w:val="6"/>
        <w:spacing w:line="360" w:lineRule="auto"/>
        <w:ind w:firstLine="42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2.因履行本合同引起的或与本合同有关的争议，甲、乙双方应首先通过友好协商解决，如果协商不成，则采取以下第</w:t>
      </w:r>
      <w:r>
        <w:rPr>
          <w:rFonts w:hint="eastAsia" w:ascii="宋体" w:hAnsi="宋体" w:eastAsia="宋体" w:cs="宋体"/>
          <w:color w:val="000000"/>
          <w:kern w:val="0"/>
          <w:sz w:val="21"/>
          <w:szCs w:val="21"/>
          <w:highlight w:val="none"/>
          <w:u w:val="single"/>
          <w:lang w:eastAsia="zh-CN"/>
        </w:rPr>
        <w:t>（</w:t>
      </w:r>
      <w:r>
        <w:rPr>
          <w:rFonts w:hint="eastAsia" w:ascii="宋体" w:hAnsi="宋体" w:eastAsia="宋体" w:cs="宋体"/>
          <w:color w:val="000000"/>
          <w:kern w:val="0"/>
          <w:sz w:val="21"/>
          <w:szCs w:val="21"/>
          <w:highlight w:val="none"/>
          <w:u w:val="single"/>
          <w:lang w:val="en-US" w:eastAsia="zh-CN"/>
        </w:rPr>
        <w:t>1</w:t>
      </w:r>
      <w:r>
        <w:rPr>
          <w:rFonts w:hint="eastAsia" w:ascii="宋体" w:hAnsi="宋体" w:eastAsia="宋体" w:cs="宋体"/>
          <w:color w:val="000000"/>
          <w:kern w:val="0"/>
          <w:sz w:val="21"/>
          <w:szCs w:val="21"/>
          <w:highlight w:val="none"/>
          <w:u w:val="single"/>
          <w:lang w:eastAsia="zh-CN"/>
        </w:rPr>
        <w:t>）</w:t>
      </w:r>
      <w:r>
        <w:rPr>
          <w:rFonts w:hint="eastAsia" w:ascii="宋体" w:hAnsi="宋体" w:eastAsia="宋体" w:cs="宋体"/>
          <w:color w:val="000000"/>
          <w:kern w:val="0"/>
          <w:sz w:val="21"/>
          <w:szCs w:val="21"/>
          <w:highlight w:val="none"/>
        </w:rPr>
        <w:t>种方式解决争议：</w:t>
      </w:r>
    </w:p>
    <w:p w14:paraId="76D95941">
      <w:pPr>
        <w:pStyle w:val="6"/>
        <w:spacing w:line="360" w:lineRule="auto"/>
        <w:ind w:firstLine="42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（1）向甲方所在地有管辖权的人民法院提起诉讼；</w:t>
      </w:r>
    </w:p>
    <w:p w14:paraId="5B4FB1A5">
      <w:pPr>
        <w:pStyle w:val="6"/>
        <w:spacing w:line="360" w:lineRule="auto"/>
        <w:ind w:firstLine="42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（2）向</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rPr>
        <w:t>仲裁委员会按其仲裁规则申请仲裁。</w:t>
      </w:r>
    </w:p>
    <w:p w14:paraId="038142BE">
      <w:pPr>
        <w:pStyle w:val="6"/>
        <w:spacing w:line="360" w:lineRule="auto"/>
        <w:ind w:firstLine="42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3.在仲裁期间，本合同应继续履行。</w:t>
      </w:r>
    </w:p>
    <w:p w14:paraId="2911D057">
      <w:pPr>
        <w:snapToGrid w:val="0"/>
        <w:spacing w:before="120" w:beforeLines="50" w:after="120" w:afterLines="50" w:line="360" w:lineRule="auto"/>
        <w:ind w:firstLine="602" w:firstLineChars="200"/>
        <w:textAlignment w:val="baseline"/>
        <w:rPr>
          <w:rFonts w:hint="eastAsia" w:ascii="宋体" w:hAnsi="宋体" w:eastAsia="宋体" w:cs="宋体"/>
          <w:b/>
          <w:color w:val="000000"/>
          <w:sz w:val="30"/>
          <w:szCs w:val="30"/>
          <w:highlight w:val="none"/>
        </w:rPr>
      </w:pPr>
      <w:r>
        <w:rPr>
          <w:rFonts w:hint="eastAsia" w:ascii="宋体" w:hAnsi="宋体" w:eastAsia="宋体" w:cs="宋体"/>
          <w:b/>
          <w:color w:val="000000"/>
          <w:sz w:val="30"/>
          <w:szCs w:val="30"/>
          <w:highlight w:val="none"/>
        </w:rPr>
        <w:t>第十四条</w:t>
      </w:r>
      <w:r>
        <w:rPr>
          <w:rFonts w:hint="eastAsia" w:ascii="宋体" w:hAnsi="宋体" w:eastAsia="宋体" w:cs="宋体"/>
          <w:color w:val="000000"/>
          <w:sz w:val="30"/>
          <w:szCs w:val="30"/>
          <w:highlight w:val="none"/>
        </w:rPr>
        <w:t xml:space="preserve"> </w:t>
      </w:r>
      <w:r>
        <w:rPr>
          <w:rFonts w:hint="eastAsia" w:ascii="宋体" w:hAnsi="宋体" w:eastAsia="宋体" w:cs="宋体"/>
          <w:b/>
          <w:color w:val="000000"/>
          <w:sz w:val="30"/>
          <w:szCs w:val="30"/>
          <w:highlight w:val="none"/>
        </w:rPr>
        <w:t>合同文件</w:t>
      </w:r>
    </w:p>
    <w:p w14:paraId="7E2D51D9">
      <w:pPr>
        <w:snapToGrid w:val="0"/>
        <w:spacing w:before="120" w:beforeLines="50" w:after="120" w:afterLines="50" w:line="360" w:lineRule="auto"/>
        <w:ind w:firstLine="420" w:firstLineChars="200"/>
        <w:textAlignment w:val="baseline"/>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264087F1">
      <w:pPr>
        <w:snapToGrid w:val="0"/>
        <w:spacing w:line="360" w:lineRule="auto"/>
        <w:ind w:firstLine="53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1.本合同书</w:t>
      </w:r>
    </w:p>
    <w:p w14:paraId="510D2E5C">
      <w:pPr>
        <w:snapToGrid w:val="0"/>
        <w:spacing w:line="360" w:lineRule="auto"/>
        <w:ind w:firstLine="53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2.</w:t>
      </w:r>
      <w:r>
        <w:rPr>
          <w:rFonts w:hint="eastAsia" w:ascii="宋体" w:hAnsi="宋体" w:eastAsia="宋体" w:cs="宋体"/>
          <w:color w:val="000000"/>
          <w:szCs w:val="21"/>
          <w:highlight w:val="none"/>
          <w:lang w:eastAsia="zh-CN"/>
        </w:rPr>
        <w:t>中标通知书</w:t>
      </w:r>
    </w:p>
    <w:p w14:paraId="2B38F92C">
      <w:pPr>
        <w:snapToGrid w:val="0"/>
        <w:spacing w:line="360" w:lineRule="auto"/>
        <w:ind w:firstLine="53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3.协议</w:t>
      </w:r>
    </w:p>
    <w:p w14:paraId="543799DA">
      <w:pPr>
        <w:snapToGrid w:val="0"/>
        <w:spacing w:line="360" w:lineRule="auto"/>
        <w:ind w:firstLine="53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w:t>
      </w:r>
      <w:r>
        <w:rPr>
          <w:rFonts w:hint="eastAsia" w:ascii="宋体" w:hAnsi="宋体" w:eastAsia="宋体" w:cs="宋体"/>
          <w:color w:val="000000"/>
          <w:szCs w:val="21"/>
          <w:highlight w:val="none"/>
          <w:lang w:eastAsia="zh-CN"/>
        </w:rPr>
        <w:t>招标文件</w:t>
      </w:r>
      <w:r>
        <w:rPr>
          <w:rFonts w:hint="eastAsia" w:ascii="宋体" w:hAnsi="宋体" w:eastAsia="宋体" w:cs="宋体"/>
          <w:color w:val="000000"/>
          <w:szCs w:val="21"/>
          <w:highlight w:val="none"/>
        </w:rPr>
        <w:t>(含澄清或者修改文件)</w:t>
      </w:r>
    </w:p>
    <w:p w14:paraId="19D6CB8A">
      <w:pPr>
        <w:snapToGrid w:val="0"/>
        <w:spacing w:line="360" w:lineRule="auto"/>
        <w:ind w:firstLine="53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5.</w:t>
      </w:r>
      <w:r>
        <w:rPr>
          <w:rFonts w:hint="eastAsia" w:ascii="宋体" w:hAnsi="宋体" w:eastAsia="宋体" w:cs="宋体"/>
          <w:color w:val="000000"/>
          <w:szCs w:val="21"/>
          <w:highlight w:val="none"/>
          <w:lang w:eastAsia="zh-CN"/>
        </w:rPr>
        <w:t>投标文件</w:t>
      </w:r>
    </w:p>
    <w:p w14:paraId="01B24361">
      <w:pPr>
        <w:snapToGrid w:val="0"/>
        <w:spacing w:before="120" w:beforeLines="50" w:after="120" w:afterLines="50" w:line="360" w:lineRule="auto"/>
        <w:ind w:firstLine="452" w:firstLineChars="150"/>
        <w:rPr>
          <w:rFonts w:hint="eastAsia" w:ascii="宋体" w:hAnsi="宋体" w:eastAsia="宋体" w:cs="宋体"/>
          <w:b/>
          <w:color w:val="000000"/>
          <w:kern w:val="0"/>
          <w:sz w:val="30"/>
          <w:szCs w:val="30"/>
          <w:highlight w:val="none"/>
        </w:rPr>
      </w:pPr>
      <w:r>
        <w:rPr>
          <w:rFonts w:hint="eastAsia" w:ascii="宋体" w:hAnsi="宋体" w:eastAsia="宋体" w:cs="宋体"/>
          <w:b/>
          <w:color w:val="000000"/>
          <w:sz w:val="30"/>
          <w:szCs w:val="30"/>
          <w:highlight w:val="none"/>
        </w:rPr>
        <w:t xml:space="preserve">第十五条 </w:t>
      </w:r>
      <w:r>
        <w:rPr>
          <w:rFonts w:hint="eastAsia" w:ascii="宋体" w:hAnsi="宋体" w:eastAsia="宋体" w:cs="宋体"/>
          <w:b/>
          <w:color w:val="000000"/>
          <w:kern w:val="0"/>
          <w:sz w:val="30"/>
          <w:szCs w:val="30"/>
          <w:highlight w:val="none"/>
        </w:rPr>
        <w:t>合同生效及其他</w:t>
      </w:r>
    </w:p>
    <w:p w14:paraId="1380466A">
      <w:pPr>
        <w:snapToGrid w:val="0"/>
        <w:spacing w:line="360" w:lineRule="auto"/>
        <w:ind w:firstLine="539"/>
        <w:rPr>
          <w:rFonts w:hint="eastAsia" w:ascii="宋体" w:hAnsi="宋体" w:eastAsia="宋体" w:cs="宋体"/>
          <w:color w:val="000000"/>
          <w:szCs w:val="21"/>
          <w:highlight w:val="none"/>
        </w:rPr>
      </w:pPr>
      <w:r>
        <w:rPr>
          <w:rFonts w:hint="eastAsia" w:ascii="宋体" w:hAnsi="宋体" w:eastAsia="宋体" w:cs="宋体"/>
          <w:color w:val="000000"/>
          <w:kern w:val="0"/>
          <w:szCs w:val="21"/>
          <w:highlight w:val="none"/>
        </w:rPr>
        <w:t>1.</w:t>
      </w:r>
      <w:r>
        <w:rPr>
          <w:rFonts w:hint="eastAsia" w:ascii="宋体" w:hAnsi="宋体" w:eastAsia="宋体" w:cs="宋体"/>
          <w:color w:val="000000"/>
          <w:szCs w:val="21"/>
          <w:highlight w:val="none"/>
        </w:rPr>
        <w:t>如有未尽事宜，由双方依法订立补充合同。</w:t>
      </w:r>
    </w:p>
    <w:p w14:paraId="3C6CC576">
      <w:pPr>
        <w:snapToGrid w:val="0"/>
        <w:spacing w:line="360" w:lineRule="auto"/>
        <w:ind w:firstLine="539"/>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2.本合同自签订之日起生效。</w:t>
      </w:r>
    </w:p>
    <w:p w14:paraId="0311F96A">
      <w:pPr>
        <w:snapToGrid w:val="0"/>
        <w:spacing w:line="360" w:lineRule="auto"/>
        <w:ind w:firstLine="539"/>
        <w:rPr>
          <w:rFonts w:hint="eastAsia" w:ascii="宋体" w:hAnsi="宋体" w:eastAsia="宋体" w:cs="宋体"/>
          <w:color w:val="000000"/>
          <w:szCs w:val="21"/>
          <w:highlight w:val="none"/>
        </w:rPr>
      </w:pPr>
      <w:r>
        <w:rPr>
          <w:rFonts w:hint="eastAsia" w:ascii="宋体" w:hAnsi="宋体" w:eastAsia="宋体" w:cs="宋体"/>
          <w:color w:val="000000"/>
          <w:kern w:val="0"/>
          <w:szCs w:val="21"/>
          <w:highlight w:val="none"/>
        </w:rPr>
        <w:t>3.本合同一式</w:t>
      </w:r>
      <w:r>
        <w:rPr>
          <w:rFonts w:hint="eastAsia" w:ascii="宋体" w:hAnsi="宋体" w:eastAsia="宋体" w:cs="宋体"/>
          <w:color w:val="000000"/>
          <w:kern w:val="0"/>
          <w:szCs w:val="21"/>
          <w:highlight w:val="none"/>
          <w:u w:val="single"/>
          <w:lang w:val="en-US" w:eastAsia="zh-CN"/>
        </w:rPr>
        <w:t>陆</w:t>
      </w:r>
      <w:r>
        <w:rPr>
          <w:rFonts w:hint="eastAsia" w:ascii="宋体" w:hAnsi="宋体" w:eastAsia="宋体" w:cs="宋体"/>
          <w:color w:val="000000"/>
          <w:kern w:val="0"/>
          <w:szCs w:val="21"/>
          <w:highlight w:val="none"/>
        </w:rPr>
        <w:t>份，具有同等法律效力，甲乙双方各执</w:t>
      </w:r>
      <w:r>
        <w:rPr>
          <w:rFonts w:hint="eastAsia" w:ascii="宋体" w:hAnsi="宋体" w:eastAsia="宋体" w:cs="宋体"/>
          <w:color w:val="000000"/>
          <w:kern w:val="0"/>
          <w:szCs w:val="21"/>
          <w:highlight w:val="none"/>
          <w:u w:val="single"/>
          <w:lang w:val="en-US" w:eastAsia="zh-CN"/>
        </w:rPr>
        <w:t>两</w:t>
      </w:r>
      <w:r>
        <w:rPr>
          <w:rFonts w:hint="eastAsia" w:ascii="宋体" w:hAnsi="宋体" w:eastAsia="宋体" w:cs="宋体"/>
          <w:color w:val="000000"/>
          <w:kern w:val="0"/>
          <w:szCs w:val="21"/>
          <w:highlight w:val="none"/>
        </w:rPr>
        <w:t>份，</w:t>
      </w:r>
      <w:r>
        <w:rPr>
          <w:rFonts w:hint="eastAsia" w:ascii="宋体" w:hAnsi="宋体" w:eastAsia="宋体" w:cs="宋体"/>
          <w:color w:val="000000"/>
          <w:kern w:val="0"/>
          <w:szCs w:val="21"/>
          <w:highlight w:val="none"/>
          <w:u w:val="none"/>
          <w:lang w:val="en-US" w:eastAsia="zh-CN"/>
        </w:rPr>
        <w:t>一</w:t>
      </w:r>
      <w:r>
        <w:rPr>
          <w:rFonts w:hint="eastAsia" w:ascii="宋体" w:hAnsi="宋体" w:eastAsia="宋体" w:cs="宋体"/>
          <w:color w:val="000000"/>
          <w:kern w:val="0"/>
          <w:szCs w:val="21"/>
          <w:highlight w:val="none"/>
        </w:rPr>
        <w:t>份报送政府采购监督管理部门备案，一份采购代理机构存档。</w:t>
      </w:r>
    </w:p>
    <w:p w14:paraId="15791ADD">
      <w:pPr>
        <w:spacing w:line="360" w:lineRule="auto"/>
        <w:ind w:firstLine="420" w:firstLineChars="200"/>
        <w:rPr>
          <w:rFonts w:hint="eastAsia" w:ascii="宋体" w:hAnsi="宋体" w:eastAsia="宋体" w:cs="宋体"/>
          <w:color w:val="000000"/>
          <w:szCs w:val="21"/>
          <w:highlight w:val="none"/>
        </w:rPr>
      </w:pPr>
    </w:p>
    <w:p w14:paraId="431E95A0">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甲方：   （盖章）   </w:t>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 xml:space="preserve">   乙方：   （盖章）</w:t>
      </w:r>
    </w:p>
    <w:p w14:paraId="5B3ED810">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法定代表人/委托代理人：            法定代表人/委托代理人：</w:t>
      </w:r>
    </w:p>
    <w:p w14:paraId="229B2302">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地    址：                         地    址：</w:t>
      </w:r>
    </w:p>
    <w:p w14:paraId="60C2B427">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开户银行：                         开户银行：</w:t>
      </w:r>
    </w:p>
    <w:p w14:paraId="331823B8">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账    号：                         账    号：</w:t>
      </w:r>
    </w:p>
    <w:p w14:paraId="6D16F1DC">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    话：                         电    话：</w:t>
      </w:r>
    </w:p>
    <w:p w14:paraId="330B8130">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传    真：                         传    真：</w:t>
      </w:r>
    </w:p>
    <w:p w14:paraId="3F36D107">
      <w:pPr>
        <w:spacing w:before="120" w:beforeLines="50" w:after="120" w:after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签约日期：    年  月  日           签约日期：    年  月  日</w:t>
      </w:r>
    </w:p>
    <w:p w14:paraId="250391F1">
      <w:pPr>
        <w:spacing w:before="120" w:beforeLines="50" w:after="120" w:afterLines="50" w:line="360" w:lineRule="auto"/>
        <w:ind w:firstLine="420" w:firstLineChars="200"/>
        <w:rPr>
          <w:rFonts w:hint="eastAsia" w:ascii="宋体" w:hAnsi="宋体" w:eastAsia="宋体" w:cs="宋体"/>
          <w:color w:val="000000"/>
          <w:szCs w:val="21"/>
          <w:highlight w:val="none"/>
        </w:rPr>
      </w:pPr>
    </w:p>
    <w:p w14:paraId="0954D961">
      <w:pPr>
        <w:spacing w:before="120" w:beforeLines="50" w:after="120" w:afterLines="50" w:line="360" w:lineRule="auto"/>
        <w:ind w:firstLine="420" w:firstLineChars="200"/>
        <w:rPr>
          <w:rFonts w:hint="eastAsia" w:ascii="宋体" w:hAnsi="宋体" w:eastAsia="宋体" w:cs="宋体"/>
          <w:color w:val="000000"/>
          <w:szCs w:val="21"/>
        </w:rPr>
      </w:pPr>
    </w:p>
    <w:p w14:paraId="09E03C07">
      <w:pPr>
        <w:spacing w:before="120" w:beforeLines="50" w:after="120" w:afterLines="50" w:line="360" w:lineRule="auto"/>
        <w:ind w:firstLine="420" w:firstLineChars="200"/>
        <w:rPr>
          <w:rFonts w:hint="eastAsia" w:ascii="宋体" w:hAnsi="宋体" w:eastAsia="宋体" w:cs="宋体"/>
          <w:color w:val="000000"/>
          <w:szCs w:val="21"/>
        </w:rPr>
      </w:pPr>
      <w:r>
        <w:rPr>
          <w:rFonts w:hint="eastAsia" w:ascii="宋体" w:hAnsi="宋体" w:eastAsia="宋体" w:cs="宋体"/>
          <w:color w:val="000000"/>
          <w:szCs w:val="21"/>
        </w:rPr>
        <w:t>见 证 方：</w:t>
      </w:r>
      <w:r>
        <w:rPr>
          <w:rFonts w:hint="eastAsia" w:ascii="宋体" w:hAnsi="宋体" w:eastAsia="宋体" w:cs="宋体"/>
          <w:color w:val="000000"/>
          <w:szCs w:val="21"/>
          <w:lang w:eastAsia="zh-CN"/>
        </w:rPr>
        <w:t>陕西顺畅义邦项目管理有限公司</w:t>
      </w:r>
      <w:r>
        <w:rPr>
          <w:rFonts w:hint="eastAsia" w:ascii="宋体" w:hAnsi="宋体" w:eastAsia="宋体" w:cs="宋体"/>
          <w:color w:val="000000"/>
          <w:szCs w:val="21"/>
        </w:rPr>
        <w:t>（盖章）</w:t>
      </w:r>
    </w:p>
    <w:p w14:paraId="76BA107E">
      <w:pPr>
        <w:spacing w:before="120" w:beforeLines="50" w:after="120" w:afterLines="50" w:line="360" w:lineRule="auto"/>
        <w:ind w:firstLine="420" w:firstLineChars="200"/>
        <w:rPr>
          <w:rFonts w:hint="eastAsia" w:ascii="宋体" w:hAnsi="宋体" w:eastAsia="宋体" w:cs="宋体"/>
          <w:color w:val="000000"/>
          <w:szCs w:val="21"/>
        </w:rPr>
      </w:pPr>
      <w:r>
        <w:rPr>
          <w:rFonts w:hint="eastAsia" w:ascii="宋体" w:hAnsi="宋体" w:eastAsia="宋体" w:cs="宋体"/>
          <w:color w:val="000000"/>
          <w:szCs w:val="21"/>
        </w:rPr>
        <w:t>地    址：</w:t>
      </w:r>
      <w:r>
        <w:rPr>
          <w:rFonts w:hint="eastAsia" w:ascii="宋体" w:hAnsi="宋体" w:eastAsia="宋体" w:cs="宋体"/>
          <w:color w:val="000000"/>
          <w:szCs w:val="21"/>
          <w:lang w:eastAsia="zh-CN"/>
        </w:rPr>
        <w:t>汉台区望江路远东大厦3楼会议室</w:t>
      </w:r>
    </w:p>
    <w:p w14:paraId="6F32D01A">
      <w:pPr>
        <w:spacing w:before="120" w:beforeLines="50" w:after="120" w:afterLines="50" w:line="360" w:lineRule="auto"/>
        <w:ind w:firstLine="420" w:firstLineChars="200"/>
        <w:rPr>
          <w:rFonts w:hint="eastAsia" w:ascii="宋体" w:hAnsi="宋体" w:eastAsia="宋体" w:cs="宋体"/>
          <w:b/>
          <w:color w:val="000000"/>
          <w:sz w:val="30"/>
          <w:szCs w:val="30"/>
          <w:highlight w:val="none"/>
        </w:rPr>
      </w:pPr>
      <w:r>
        <w:rPr>
          <w:rFonts w:hint="eastAsia" w:ascii="宋体" w:hAnsi="宋体" w:eastAsia="宋体" w:cs="宋体"/>
          <w:color w:val="000000"/>
          <w:szCs w:val="21"/>
        </w:rPr>
        <w:t>见证日期：   年  月  日</w:t>
      </w:r>
    </w:p>
    <w:p w14:paraId="424969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A20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2025-05-13T01:49:12Z</dcterms:created>
  <dc:creator>Administrator</dc:creator>
  <cp:lastModifiedBy>Administrator</cp:lastModifiedBy>
  <dcterms:modified xsi:type="dcterms:W3CDTF">2025-05-13T01:52:37Z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eyJoZGlkIjoiMGQ0NjYwNmYyMTcwMjE3ZGZmYTU3ODhhZWM3OTAzOWEiLCJ1c2VySWQiOiIyMjQ3MzcxMTMifQ==</vt:lpwstr>
  </property>
  <property fmtid="{D5CDD505-2E9C-101B-9397-08002B2CF9AE}" pid="4" name="ICV">
    <vt:lpwstr>77E8208C534D4B89980A19D3D16EB0EC_12</vt:lpwstr>
  </property>
</Properties>
</file>