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版本号：HZCXHZ-2025-050220250509001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2025年勉县温泉镇板桥村预制食品加工设备采购项目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HZCXHZ-2025-0502</w:t>
      </w:r>
      <w:r>
        <w:br/>
      </w:r>
      <w:r>
        <w:br/>
      </w:r>
      <w:r>
        <w:br/>
      </w:r>
    </w:p>
    <w:p>
      <w:pPr>
        <w:pStyle w:val="null3"/>
        <w:jc w:val="center"/>
        <w:outlineLvl w:val="2"/>
      </w:pPr>
      <w:r>
        <w:rPr>
          <w:rFonts w:ascii="仿宋_GB2312" w:hAnsi="仿宋_GB2312" w:cs="仿宋_GB2312" w:eastAsia="仿宋_GB2312"/>
          <w:sz w:val="28"/>
          <w:b/>
        </w:rPr>
        <w:t>勉县温泉镇人民政府</w:t>
      </w:r>
    </w:p>
    <w:p>
      <w:pPr>
        <w:pStyle w:val="null3"/>
        <w:jc w:val="center"/>
        <w:outlineLvl w:val="2"/>
      </w:pPr>
      <w:r>
        <w:rPr>
          <w:rFonts w:ascii="仿宋_GB2312" w:hAnsi="仿宋_GB2312" w:cs="仿宋_GB2312" w:eastAsia="仿宋_GB2312"/>
          <w:sz w:val="28"/>
          <w:b/>
        </w:rPr>
        <w:t>陕西鸿志创新工程管理有限责任公司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陕西鸿志创新工程管理有限责任公司</w:t>
      </w:r>
      <w:r>
        <w:rPr>
          <w:rFonts w:ascii="仿宋_GB2312" w:hAnsi="仿宋_GB2312" w:cs="仿宋_GB2312" w:eastAsia="仿宋_GB2312"/>
        </w:rPr>
        <w:t>（以下简称“代理机构”）受</w:t>
      </w:r>
      <w:r>
        <w:rPr>
          <w:rFonts w:ascii="仿宋_GB2312" w:hAnsi="仿宋_GB2312" w:cs="仿宋_GB2312" w:eastAsia="仿宋_GB2312"/>
        </w:rPr>
        <w:t>勉县温泉镇人民政府</w:t>
      </w:r>
      <w:r>
        <w:rPr>
          <w:rFonts w:ascii="仿宋_GB2312" w:hAnsi="仿宋_GB2312" w:cs="仿宋_GB2312" w:eastAsia="仿宋_GB2312"/>
        </w:rPr>
        <w:t>委托，拟对</w:t>
      </w:r>
      <w:r>
        <w:rPr>
          <w:rFonts w:ascii="仿宋_GB2312" w:hAnsi="仿宋_GB2312" w:cs="仿宋_GB2312" w:eastAsia="仿宋_GB2312"/>
        </w:rPr>
        <w:t>2025年勉县温泉镇板桥村预制食品加工设备采购项目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HZCXHZ-2025-0502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2025年勉县温泉镇板桥村预制食品加工设备采购项目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食品生产设备流水线一套，项目生产配套设备包含：大型全数控凉皮机1台，高速搅拌机2台，低速搅拌机1台，高速与低速搅拌机泵2套，低速搅拌机到上浆机泵1套，100公斤蒸汽机3台，油灌装机1台，料水灌装机1台，外包装机1台，内包装机1台，巴氏杀菌机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采购包1（2025年勉县温泉镇板桥村预制食品加工厂设备采购项目）：属于专门面向中小企业采购。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1、营业执照或相关证明文件：供应商具有独立承担民事责任能力的法人、其他组织或自然人，提供有效营业执照/事业单位法人证书/其他组织的有效证明文件/自然人的身份证明/民办非企业单位登记证书；</w:t>
      </w:r>
    </w:p>
    <w:p>
      <w:pPr>
        <w:pStyle w:val="null3"/>
      </w:pPr>
      <w:r>
        <w:rPr>
          <w:rFonts w:ascii="仿宋_GB2312" w:hAnsi="仿宋_GB2312" w:cs="仿宋_GB2312" w:eastAsia="仿宋_GB2312"/>
        </w:rPr>
        <w:t>2、法定代表人证明书或法定代表人授权书及相关资料：法定代表人参加开标会议的，须出具法定代表人证明书及法定代表人合法有效的身份证扫描件；法定代表人授权他人参加开标会议的，须提供法定代表人授权委托书及被授权代表的身份证扫描件；</w:t>
      </w:r>
    </w:p>
    <w:p>
      <w:pPr>
        <w:pStyle w:val="null3"/>
      </w:pPr>
      <w:r>
        <w:rPr>
          <w:rFonts w:ascii="仿宋_GB2312" w:hAnsi="仿宋_GB2312" w:cs="仿宋_GB2312" w:eastAsia="仿宋_GB2312"/>
        </w:rPr>
        <w:t>3、资格承诺文件：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提供加盖公章的《汉中市政府采购供应商资格承诺函》扫描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勉县温泉镇人民政府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勉县温泉镇郭家湾村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0916-3355080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陕西鸿志创新工程管理有限责任公司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汉中市汉台区望江路王观营社区二组远东大厦二楼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13084889098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夏科长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采购包1：1,105,200.00元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无产品</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开户名称：陕西鸿志创新工程管理有限责任公司汉中分公司</w:t>
            </w:r>
          </w:p>
          <w:p>
            <w:pPr>
              <w:pStyle w:val="null3"/>
            </w:pPr>
            <w:r>
              <w:rPr>
                <w:rFonts w:ascii="仿宋_GB2312" w:hAnsi="仿宋_GB2312" w:cs="仿宋_GB2312" w:eastAsia="仿宋_GB2312"/>
              </w:rPr>
              <w:t>开户银行：长安银行股份有限公司汉中莲湖东路支行</w:t>
            </w:r>
          </w:p>
          <w:p>
            <w:pPr>
              <w:pStyle w:val="null3"/>
            </w:pPr>
            <w:r>
              <w:rPr>
                <w:rFonts w:ascii="仿宋_GB2312" w:hAnsi="仿宋_GB2312" w:cs="仿宋_GB2312" w:eastAsia="仿宋_GB2312"/>
              </w:rPr>
              <w:t>银行账号：806060801421005496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代理服务费收费标准：本项目采购代理服务费按国家收费标准执行，按照《招标代理服务收费管理暂行办法（计价格[2002]1980号文件》和（发改办价格[2011]534号文件）计算，由成交供应商支付。 招标代理服务费采用差额定率累进法计算，以中标价为基数计算，具体收费金额将在采购结果公告中公布。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勉县温泉镇人民政府</w:t>
      </w:r>
      <w:r>
        <w:rPr>
          <w:rFonts w:ascii="仿宋_GB2312" w:hAnsi="仿宋_GB2312" w:cs="仿宋_GB2312" w:eastAsia="仿宋_GB2312"/>
        </w:rPr>
        <w:t>和</w:t>
      </w:r>
      <w:r>
        <w:rPr>
          <w:rFonts w:ascii="仿宋_GB2312" w:hAnsi="仿宋_GB2312" w:cs="仿宋_GB2312" w:eastAsia="仿宋_GB2312"/>
        </w:rPr>
        <w:t>陕西鸿志创新工程管理有限责任公司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勉县温泉镇人民政府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陕西鸿志创新工程管理有限责任公司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勉县温泉镇人民政府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陕西鸿志创新工程管理有限责任公司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满足国家标准，满足采购人需求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联系人：何先生</w:t>
      </w:r>
    </w:p>
    <w:p>
      <w:pPr>
        <w:pStyle w:val="null3"/>
      </w:pPr>
      <w:r>
        <w:rPr>
          <w:rFonts w:ascii="仿宋_GB2312" w:hAnsi="仿宋_GB2312" w:cs="仿宋_GB2312" w:eastAsia="仿宋_GB2312"/>
        </w:rPr>
        <w:t>联系电话：13084889098</w:t>
      </w:r>
    </w:p>
    <w:p>
      <w:pPr>
        <w:pStyle w:val="null3"/>
      </w:pPr>
      <w:r>
        <w:rPr>
          <w:rFonts w:ascii="仿宋_GB2312" w:hAnsi="仿宋_GB2312" w:cs="仿宋_GB2312" w:eastAsia="仿宋_GB2312"/>
        </w:rPr>
        <w:t>地址：汉中市汉台区望江路王观营社区二组远东大厦二楼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食品生产设备流水线一套，项目生产配套设备包含：大型全数控凉皮机1台，高速搅拌机2台，低速搅拌机1台，高速与低速搅拌机泵2套，低速搅拌机到上浆机泵1套，100公斤蒸汽机3台，油灌装机1台，料水灌装机1台，外包装机1台，内包装机1台，巴氏杀菌机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1,105,200.00</w:t>
      </w:r>
    </w:p>
    <w:p>
      <w:pPr>
        <w:pStyle w:val="null3"/>
      </w:pPr>
      <w:r>
        <w:rPr>
          <w:rFonts w:ascii="仿宋_GB2312" w:hAnsi="仿宋_GB2312" w:cs="仿宋_GB2312" w:eastAsia="仿宋_GB2312"/>
        </w:rPr>
        <w:t>采购包最高限价（元）: 1,105,200.00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外包装机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内包装机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192,100.00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巴氏杀菌机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大型全数控凉皮机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199,500.00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高速搅拌机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48,600.00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低速搅拌机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高速搅拌机与低速搅拌机泵</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低速搅拌机到上浆搅机泵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100kg蒸汽机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59,100.00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油灌装机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38,400.00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料水灌装机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标的名称：外包装机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380V  ≥9kw </w:t>
            </w:r>
          </w:p>
        </w:tc>
      </w:tr>
    </w:tbl>
    <w:p>
      <w:pPr>
        <w:pStyle w:val="null3"/>
      </w:pPr>
      <w:r>
        <w:rPr>
          <w:rFonts w:ascii="仿宋_GB2312" w:hAnsi="仿宋_GB2312" w:cs="仿宋_GB2312" w:eastAsia="仿宋_GB2312"/>
        </w:rPr>
        <w:t>标的名称：内包装机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380V  ≥4.5kw  </w:t>
            </w:r>
          </w:p>
        </w:tc>
      </w:tr>
    </w:tbl>
    <w:p>
      <w:pPr>
        <w:pStyle w:val="null3"/>
      </w:pPr>
      <w:r>
        <w:rPr>
          <w:rFonts w:ascii="仿宋_GB2312" w:hAnsi="仿宋_GB2312" w:cs="仿宋_GB2312" w:eastAsia="仿宋_GB2312"/>
        </w:rPr>
        <w:t>标的名称：巴氏杀菌机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380V ≥15KW </w:t>
            </w:r>
          </w:p>
        </w:tc>
      </w:tr>
    </w:tbl>
    <w:p>
      <w:pPr>
        <w:pStyle w:val="null3"/>
      </w:pPr>
      <w:r>
        <w:rPr>
          <w:rFonts w:ascii="仿宋_GB2312" w:hAnsi="仿宋_GB2312" w:cs="仿宋_GB2312" w:eastAsia="仿宋_GB2312"/>
        </w:rPr>
        <w:t>标的名称：大型全数控凉皮机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电源380V，变频器控制下浆，变频器控制走带，外挂式配电箱。</w:t>
            </w:r>
            <w:r>
              <w:br/>
            </w: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标的名称：高速搅拌机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380V  ≥4KW  Φ1.0x1.55（±0.1）</w:t>
            </w:r>
          </w:p>
        </w:tc>
      </w:tr>
    </w:tbl>
    <w:p>
      <w:pPr>
        <w:pStyle w:val="null3"/>
      </w:pPr>
      <w:r>
        <w:rPr>
          <w:rFonts w:ascii="仿宋_GB2312" w:hAnsi="仿宋_GB2312" w:cs="仿宋_GB2312" w:eastAsia="仿宋_GB2312"/>
        </w:rPr>
        <w:t>标的名称：低速搅拌机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380V ≥1.5KW Φ1.2x2.33（±0.1）</w:t>
            </w:r>
          </w:p>
        </w:tc>
      </w:tr>
    </w:tbl>
    <w:p>
      <w:pPr>
        <w:pStyle w:val="null3"/>
      </w:pPr>
      <w:r>
        <w:rPr>
          <w:rFonts w:ascii="仿宋_GB2312" w:hAnsi="仿宋_GB2312" w:cs="仿宋_GB2312" w:eastAsia="仿宋_GB2312"/>
        </w:rPr>
        <w:t>标的名称：高速搅拌机与低速搅拌机泵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380V  ≥0.75KW  </w:t>
            </w:r>
          </w:p>
        </w:tc>
      </w:tr>
    </w:tbl>
    <w:p>
      <w:pPr>
        <w:pStyle w:val="null3"/>
      </w:pPr>
      <w:r>
        <w:rPr>
          <w:rFonts w:ascii="仿宋_GB2312" w:hAnsi="仿宋_GB2312" w:cs="仿宋_GB2312" w:eastAsia="仿宋_GB2312"/>
        </w:rPr>
        <w:t>标的名称：低速搅拌机到上浆搅机泵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380V ≥0.75KW </w:t>
            </w:r>
          </w:p>
        </w:tc>
      </w:tr>
    </w:tbl>
    <w:p>
      <w:pPr>
        <w:pStyle w:val="null3"/>
      </w:pPr>
      <w:r>
        <w:rPr>
          <w:rFonts w:ascii="仿宋_GB2312" w:hAnsi="仿宋_GB2312" w:cs="仿宋_GB2312" w:eastAsia="仿宋_GB2312"/>
        </w:rPr>
        <w:t>标的名称：100kg蒸汽机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220V  ≥1.5KW</w:t>
            </w:r>
          </w:p>
        </w:tc>
      </w:tr>
    </w:tbl>
    <w:p>
      <w:pPr>
        <w:pStyle w:val="null3"/>
      </w:pPr>
      <w:r>
        <w:rPr>
          <w:rFonts w:ascii="仿宋_GB2312" w:hAnsi="仿宋_GB2312" w:cs="仿宋_GB2312" w:eastAsia="仿宋_GB2312"/>
        </w:rPr>
        <w:t>标的名称：油灌装机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每包25—50克（油）220V  ≥1KW</w:t>
            </w:r>
          </w:p>
        </w:tc>
      </w:tr>
    </w:tbl>
    <w:p>
      <w:pPr>
        <w:pStyle w:val="null3"/>
      </w:pPr>
      <w:r>
        <w:rPr>
          <w:rFonts w:ascii="仿宋_GB2312" w:hAnsi="仿宋_GB2312" w:cs="仿宋_GB2312" w:eastAsia="仿宋_GB2312"/>
        </w:rPr>
        <w:t>标的名称：料水灌装机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每包25—125克（料水）220V  ≥1KW</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所有设备进场后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交付标准：现行的国家标准或国家行政部门颁布的法律法规、规章制度等，是项目验收的重要依据，采购人单位按照国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本项目整体质保期不少于2年，供应商承诺超过采购文件要求的，按其承诺的质保期进行质保，质保期起始时间为终验合格之日。</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供应商未全面履行合同义务或者发生违约，采购人有权终止合同，依法向供应商进行经济索赔，并报请政府采购监督管理机关依法进行相应的行政处罚。采购人违约的，应当赔偿给供应商造成的经济损失。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报价要求:投标人在填报投标报价时应综合考虑以下各类价格组成内容，包括但不限于人工费、设备费(主材及辅材)、保险、利润、规费、税金、货物运至最终目的地的运输费、专用工具使用费、伴随货物交运的有关费用等与之相关的一切直接费、间接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汉中市政府采购供应商资格承诺函.docx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供应商具有独立承担民事责任能力的法人、其他组织或自然人，提供有效营业执照/事业单位法人证书/其他组织的有效证明文件/自然人的身份证明/民办非企业单位登记证书；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法定代表人证明书或法定代表人授权书及相关资料</w:t>
            </w:r>
          </w:p>
        </w:tc>
        <w:tc>
          <w:tcPr>
            <w:tcW w:type="dxa" w:w="3322"/>
          </w:tcPr>
          <w:p>
            <w:pPr>
              <w:pStyle w:val="null3"/>
            </w:pPr>
            <w:r>
              <w:rPr>
                <w:rFonts w:ascii="仿宋_GB2312" w:hAnsi="仿宋_GB2312" w:cs="仿宋_GB2312" w:eastAsia="仿宋_GB2312"/>
              </w:rPr>
              <w:t>法定代表人参加开标会议的，须出具法定代表人证明书及法定代表人合法有效的身份证扫描件；法定代表人授权他人参加开标会议的，须提供法定代表人授权委托书及被授权代表的身份证扫描件；</w:t>
            </w:r>
          </w:p>
        </w:tc>
        <w:tc>
          <w:tcPr>
            <w:tcW w:type="dxa" w:w="1661"/>
          </w:tcPr>
          <w:p>
            <w:pPr>
              <w:pStyle w:val="null3"/>
            </w:pPr>
            <w:r>
              <w:rPr>
                <w:rFonts w:ascii="仿宋_GB2312" w:hAnsi="仿宋_GB2312" w:cs="仿宋_GB2312" w:eastAsia="仿宋_GB2312"/>
              </w:rPr>
              <w:t>法定代表人证明书与法定代表人授权书.docx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资格承诺文件</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提供加盖公章的《汉中市政府采购供应商资格承诺函》扫描件</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投标文件是否按招标文件要求签署、盖章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投标文件报价有效及唯一性</w:t>
            </w:r>
          </w:p>
        </w:tc>
        <w:tc>
          <w:tcPr>
            <w:tcW w:type="dxa" w:w="3322"/>
          </w:tcPr>
          <w:p>
            <w:pPr>
              <w:pStyle w:val="null3"/>
            </w:pPr>
            <w:r>
              <w:rPr>
                <w:rFonts w:ascii="仿宋_GB2312" w:hAnsi="仿宋_GB2312" w:cs="仿宋_GB2312" w:eastAsia="仿宋_GB2312"/>
              </w:rPr>
              <w:t>投标文件报价唯一，且没有高于采购预算总价</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投标供应商的投标有效期符合招标文件的要求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投标人应提交的相关资格证明材料 投标保证金缴纳凭证复印件.docx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法定代表人或法定代表人被授权委托代理人的印鉴齐全</w:t>
            </w:r>
          </w:p>
        </w:tc>
        <w:tc>
          <w:tcPr>
            <w:tcW w:type="dxa" w:w="3322"/>
          </w:tcPr>
          <w:p>
            <w:pPr>
              <w:pStyle w:val="null3"/>
            </w:pPr>
            <w:r>
              <w:rPr>
                <w:rFonts w:ascii="仿宋_GB2312" w:hAnsi="仿宋_GB2312" w:cs="仿宋_GB2312" w:eastAsia="仿宋_GB2312"/>
              </w:rPr>
              <w:t>投标供应商法定代表人或其法定代表人被授权委托代理的印鉴齐全</w:t>
            </w:r>
          </w:p>
        </w:tc>
        <w:tc>
          <w:tcPr>
            <w:tcW w:type="dxa" w:w="1661"/>
          </w:tcPr>
          <w:p>
            <w:pPr>
              <w:pStyle w:val="null3"/>
            </w:pPr>
            <w:r>
              <w:rPr>
                <w:rFonts w:ascii="仿宋_GB2312" w:hAnsi="仿宋_GB2312" w:cs="仿宋_GB2312" w:eastAsia="仿宋_GB2312"/>
              </w:rPr>
              <w:t>法定代表人证明书与法定代表人授权书.docx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投标函 其他资料.docx 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针对本项目特点，根据投入的实施的团队、财力调配、运输配送等制定科学合理的技术方案，方案完整详细、科学合理，满足采购人各项要求得（7-10]分；方案较为清晰合理得（4-7]分；方案基本完整得（1-4]分。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供货进度 安排</w:t>
            </w:r>
          </w:p>
        </w:tc>
        <w:tc>
          <w:tcPr>
            <w:tcW w:type="dxa" w:w="2492"/>
          </w:tcPr>
          <w:p>
            <w:pPr>
              <w:pStyle w:val="null3"/>
            </w:pPr>
            <w:r>
              <w:rPr>
                <w:rFonts w:ascii="仿宋_GB2312" w:hAnsi="仿宋_GB2312" w:cs="仿宋_GB2312" w:eastAsia="仿宋_GB2312"/>
              </w:rPr>
              <w:t>有明确的供货计划周期安排，能够在承诺的时间内按时交货，计划进度安排合理，保障措施可行得（7-10]分；计划进度较为合理可行得（4-7]分；计划进度基本合理得（1-4]分。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提供的设备供货渠道正规、技术资料齐全，保证所投设备无水货、假货、翻新货、无不良市场反馈，检验检测手续合法有效且无产权纠纷，并提供设备来源的合法证明文件（包括但不限于销售协议、代理协议、厂家授权等），质量保障内容完整、结构清晰、可操作性强，能完全满足采购需求得（7-10]分；质量保障较为完整、清晰得（4-7]分；质量保障基本完整、清晰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提供投标供应商2022年1月1日至今承担过类似项目业绩，每提供一个计2分，满分6分。（类似项目业绩应附中标通知书或成交通知书、合同协议书，业绩时间以中标通知书或成交通知书时间为准。）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根据本项目特点制定合理可行、详细完善的售后服务计划，计划完善合理得（6-8]分；计划较为完善合理得（4-6]分；计划基本完善合理得（1-4]分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详细评审响应方案.docx</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供应商提供的易损件和关键零部件备品备件情况，且提供的备品备件供货渠道正规，并能提供相关备品备件的详细清单，视相应情况得0-4分。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针对本项目制定切实可行的培训计划方案，方案详细可行得（4-6]分；方案较为详细可行得（2-4]分，方案基本详细可行得(1-2]分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具有项目执行保障能力，在特殊情况条件下的应对措施和应急保障措施，保障措施完整详细、科学合理得（4-6]分，较为完整详细、科学合理得（2-4]分，基本完整合理得（1-2]分。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详细评审响应方案.docx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价格分采用低价优先法计算，即满足招标文件要求最低的投标报价为评审基准价，其价格分为满分，其他响应人的价格分统一按照下列公式计算： 1.不享有政策优惠条件的投标供应商报价得分=（评审基准价/报价）×40 注：本项目为专门面向中小企业采购的项目，因此不在执行价格评审优惠扶持政策。</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详见附件：详细评审响应方案.docx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详见附件：投标保证金缴纳凭证复印件.docx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