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版本号：YC25307012(CGO)20250720002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省级垃圾分类试点县垃圾压缩转运站配套垃圾压缩转运设备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YC25307012(CGO)</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省级垃圾分类试点县垃圾压缩转运站配套垃圾压缩转运设备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YC25307012(CGO)</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省级垃圾分类试点县垃圾压缩转运站配套垃圾压缩转运设备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采购中转站配套压缩转运设备6套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应具备相关信用条件：投标人需在项目电子化交易系统中按要求填写《汉中市政府采购供应商资格承诺函》，及在递交投标文件截止时间前未被“信用中国”网站(http://www.creditchina.gov.cn)列入“失信被执行人、重大税收违法失信主体、政府采购严重违法失信行为记录名单”，中国政府采购网(http://www.ccgp.gov.cn)“政府采购严重违法失信行为记录名单”的书面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15191631878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汉中市汉台区西新街仁和春天11号楼二单元23层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折红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15091619770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设备类</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设备类</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设备类</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开户名称：亿诚建设项目管理有限公司</w:t>
            </w:r>
          </w:p>
          <w:p>
            <w:pPr>
              <w:pStyle w:val="null3"/>
            </w:pPr>
            <w:r>
              <w:rPr>
                <w:rFonts w:ascii="仿宋_GB2312" w:hAnsi="仿宋_GB2312" w:cs="仿宋_GB2312" w:eastAsia="仿宋_GB2312"/>
              </w:rPr>
              <w:t>开户银行：平安银行西安含光路支行</w:t>
            </w:r>
          </w:p>
          <w:p>
            <w:pPr>
              <w:pStyle w:val="null3"/>
            </w:pPr>
            <w:r>
              <w:rPr>
                <w:rFonts w:ascii="仿宋_GB2312" w:hAnsi="仿宋_GB2312" w:cs="仿宋_GB2312" w:eastAsia="仿宋_GB2312"/>
              </w:rPr>
              <w:t>银行账号：30205199004511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的招标代理费：采购代理机构参照国家计委关于印发《招标代理服务收费管理暂行办法》的通知（计价格〔2002〕1980号）、《国家发展和改革委员会办公厅关于招标代理服务收费有关问题的通知》（发改办价格〔2003〕857号）规定向中标投标人收取代理服务费。中标人在领取中标通知书前，向招标代理机构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验收主体与责任：采购人应当按照政府采购合同规定的技术、服务、安全标准组织对供应商履约情况进行验收。验收方成员应当在验收书上签字，并承担相应的法律责任。 验收内容与标准：验收书应当包括每一项技术、服务、安全标准的履约情况。</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联系人：折红</w:t>
      </w:r>
    </w:p>
    <w:p>
      <w:pPr>
        <w:pStyle w:val="null3"/>
      </w:pPr>
      <w:r>
        <w:rPr>
          <w:rFonts w:ascii="仿宋_GB2312" w:hAnsi="仿宋_GB2312" w:cs="仿宋_GB2312" w:eastAsia="仿宋_GB2312"/>
        </w:rPr>
        <w:t>联系电话：15091619770</w:t>
      </w:r>
    </w:p>
    <w:p>
      <w:pPr>
        <w:pStyle w:val="null3"/>
      </w:pPr>
      <w:r>
        <w:rPr>
          <w:rFonts w:ascii="仿宋_GB2312" w:hAnsi="仿宋_GB2312" w:cs="仿宋_GB2312" w:eastAsia="仿宋_GB2312"/>
        </w:rPr>
        <w:t>地址：汉中市汉台区西新街仁和春天11号楼二单元23层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采购中转站配套压缩转运设备6套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中转站配套压缩转运设备</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标的名称：中转站配套压缩转运设备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采购内容：为解决中转站周边垃圾收集压缩拟采购垃圾压缩转运站配套垃圾压缩转运设备6套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处理形式：压装式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压缩方式：水平压缩</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垃圾理论处理量(t/h)：≥6</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压缩腔容积(m3)：≥0.8</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压缩仓容积(m3)：≥2.5。 压缩仓的两侧板、底板需采用厚度≥10mm的布氏硬度450的高强度耐磨钢拼焊而成</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垃圾箱容积(m3) ：≥6</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垃圾箱整体：底板厚度≥5mm 。侧板及顶板厚度≥4mm</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最大压缩力(kN)： ≥240</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空载压缩循环时间(s)： ≤30</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翻斗机构最大举升力(t) ：≥1.5</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上料机构工作循环时间(s)： ≤26</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翻斗容积(m3)：≥1.5。料斗为整体式，运输状态时料斗翻转后可作为进料口的顶盖密封，该装置能满足 1.5 m3 以下的 机动车、人力板车、三轮车等收集车对接；保证垃圾收集车一次卸料操作方便。</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电动机额定功率（kW）：≥5.5</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整机重量 (kg) ：≤3900</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结构尺寸（翻斗翻起状态）：长(mm) ≤4045，宽(mm) ≤2440，高(mm) ≤2100。</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电源：380V/50Hz/10kW</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功能性及其它要求：①　需具有破碎及防止垃圾反弹功能，压缩头处于任意位置时强行退回初始工作位的功能； ②　需具有线控式和触摸式双重控制功能； ③　需具有三相电源的相序换相功能，液晶显示功能，压满报警及显示功能，具有紧急停止控制功能， 具有故障的自动报警和自动诊断功能。 ④　设备箱体后门需采用液压锁紧，从拉臂车液压系统取力，可在车厢可卸式垃圾车驾驶室内直接控 制箱体后门的打开和锁紧； ⑤　所有旋转铰轴均需采用特种自润滑轴承或关节轴承，油缸活塞杆表面处理，需具有很强的耐磨性和耐腐性，保证其在恶劣环境中的使用寿命； ⑥　卸料门需具有锁紧机构和密封结构，保证压缩过程和垃圾转运过程中，不会产生污水滴漏； ⑦　卸料门的锁紧机构需采用两侧加中间锁紧，密封条的压缩量无级可调且具有自动防脱钩的功能，锁紧可靠，能确保密封性。压缩仓两侧需各设有一个排污口，同时设有清污口，便于清理排污口的垃圾并辅助排污。 需采用双泵驱动，系统需要高压时，采用单泵工作，系统需高速时，采用双泵工作，高效节能，系统发热量小。</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售后及保修要求：整机质保3年，在当地需配置售后服务网点及专业售后维修人员，接到服务需求通知能尽快上门排除故障。</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交货期限为合同签订后二十日历天内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交货验收时，乙方提供原厂供货证明、售后服务承诺书及所提供产品的合格证、装箱清单、配件、随机工具、用户使用手册、保修卡等资料交付给甲方；质量验收合格后双方签署质量验收报告。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整机保修三年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规定和本合同约定，成交人未全面履行合同义务或者发生违约，采购人会同招标组织机构有权终止合同，依法向成交人进行经济索赔，并报请政府采购监督管理机关依法进行相应的行政处罚。采购人违约的，应当赔偿给成交人造成的经济损失。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技术方案.docx 产品技术参数表 书面声明.docx 投标函 授权委托书.docx 汉中市政府采购投标人资格承诺函.docx 投标保证金.docx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为本项目提供整体设计、规范编制或者项目管理、监理、检测等服务的投标人，不得再参加该采购项目的其他采购活动。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书面声明.docx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投标人应具备相关信用条件</w:t>
            </w:r>
          </w:p>
        </w:tc>
        <w:tc>
          <w:tcPr>
            <w:tcW w:type="dxa" w:w="3322"/>
          </w:tcPr>
          <w:p>
            <w:pPr>
              <w:pStyle w:val="null3"/>
            </w:pPr>
            <w:r>
              <w:rPr>
                <w:rFonts w:ascii="仿宋_GB2312" w:hAnsi="仿宋_GB2312" w:cs="仿宋_GB2312" w:eastAsia="仿宋_GB2312"/>
              </w:rPr>
              <w:t>投标人需在项目电子化交易系统中按要求填写《汉中市政府采购供应商资格承诺函》，及在递交投标文件截止时间前未被“信用中国”网站(http://www.creditchina.gov.cn)列入“失信被执行人、重大税收违法失信主体、政府采购严重违法失信行为记录名单”，中国政府采购网(http://www.ccgp.gov.cn)“政府采购严重违法失信行为记录名单”的书面声明，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本项目不面向中小企业。</w:t>
            </w:r>
          </w:p>
        </w:tc>
        <w:tc>
          <w:tcPr>
            <w:tcW w:type="dxa" w:w="3322"/>
          </w:tcPr>
          <w:p>
            <w:pPr>
              <w:pStyle w:val="null3"/>
            </w:pPr>
            <w:r>
              <w:rPr>
                <w:rFonts w:ascii="仿宋_GB2312" w:hAnsi="仿宋_GB2312" w:cs="仿宋_GB2312" w:eastAsia="仿宋_GB2312"/>
              </w:rPr>
              <w:t>投标人为中型、小型、微型企业的，提供《中小企业声明函》，且中小企业的划分标准所属行业为 工业 ；投标人为监狱企业的，应提供监狱企业的证明文件；投标人为残疾人福利性单位的，应提供《残疾人福利性单位声明函》（监狱企业或残疾人福利性单位视同小型、微型企业）。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 xml:space="preserve"> ①满足招标文件要求且投标价格最低的投标报价为评标基准价，其价格分为满分。其他投标人的价格分统一按照下列公式计算：投标报价得分=（评标基准价/投标报价）×30 ②本项目为不面向中小企业项目，小型和微型企业的投标人的投标报价给予10%的扣除，用扣除后的价格参与评审。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投标产品的技术指标、参数完全符合、满足招标文件要求，无负偏离得30分； 参数中每出现一条技术指标为负偏离的扣2分，扣完为止。 注：投标人须在技术响应表中对技术参数进行回应，并尽可能多的提供相关技术参数佐证材料(佐证材料不限于：经厂家确认的产品彩页、检测报告、官网截图等证明材料)予以证明其技术参数的响应性。投标人自行承担因佐证材料不全而被视为技术参数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投标产品可靠性</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并提供佐证材料予以证明。(不限于加盖生产厂家公章的原厂正品授权委托书或原厂售后服务或销售协议或代理协议等证明文件)每提供一个设备的有效证明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供应商针对本项目提供具体详细可行的①供货方案②人员安排③安装调试； 二、评审标准： 1、完整性：方案必须全面，对评审内容中的各项要求有详细描述； 2、合理性：切合本项目实际情况，提出步骤清晰、合理的方案； 3、针对性：方案能够紧扣项目实际情况，内容科学合理。 三、赋分标准： ①供货方案：每完全满足一个评审标准得1 分，满分 3分； ②人员安排：每完全满足一个评审标准得1 分，满分 3分； ③安装调试：每完全满足一个评审标准得1 分，满分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供应商针对本项目有完整、详细的培训方案与计划； 二、评审标准 1、完整性：内容必须全面，对评审内容中的各项要求有详细描述； 2、合理性：切合本项目实际情况，提出步骤清晰、合理的方案； 3、针对性：方案能够紧扣项目实际情况，内容科学合理。 三、赋分标准； 1、每完全满足一个评审标准得1分，满分3分。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供应商针对本项目有完整的售后服务方案，包括①质保期限及服务承诺；②售后服务内容；③质量保证措施；④响应方式、响应时间； 二、评审标准 1、完整性：内容必须全面，对评审内容中的各项要求有详细描述； 2、真实性：切合项目具体情况，明确责任及具体的方案； 3、针对性：方案能够紧扣项目实际情况，内容科学合理。 三、赋分标准； ①质保期限及服务承诺：质保期＞3年得1 分；售后服务承诺:每完全满足一个评审标准得1分，满分3分； ②售后服务内容：每完全满足一个评审标准得1分，满分 3分； ③质量保证措施：每完全满足一个评审标准得1分，满分3分； ④响应方式、响应时间：每完全满足一个评审标准得1分，满分3分；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提供同类产品业绩，投标文件中附有其业绩证明材料（证明材料为的中标通知书或采购合同，成交或签订时间为本项目递交投标文件截止时间前五年），每提供一份业绩计2.5分，满分5分。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详见附件：汉中市政府采购投标人资格承诺函.docx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