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B4BE2">
      <w:pPr>
        <w:spacing w:line="360" w:lineRule="auto"/>
        <w:jc w:val="both"/>
        <w:rPr>
          <w:rFonts w:hint="default" w:ascii="宋体" w:hAnsi="宋体" w:eastAsia="宋体" w:cs="宋体"/>
          <w:color w:val="auto"/>
          <w:szCs w:val="21"/>
          <w:lang w:val="en-US" w:eastAsia="zh-CN"/>
        </w:rPr>
      </w:pPr>
      <w:r>
        <w:rPr>
          <w:rFonts w:hint="eastAsia" w:ascii="宋体" w:hAnsi="宋体" w:cs="宋体"/>
          <w:color w:val="auto"/>
          <w:szCs w:val="21"/>
        </w:rPr>
        <w:t>甲方：</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p>
    <w:p w14:paraId="46BD4C19">
      <w:pPr>
        <w:spacing w:line="360" w:lineRule="auto"/>
        <w:jc w:val="both"/>
        <w:rPr>
          <w:rFonts w:hint="default" w:ascii="宋体" w:hAnsi="宋体" w:eastAsia="宋体" w:cs="宋体"/>
          <w:color w:val="auto"/>
          <w:szCs w:val="21"/>
          <w:lang w:val="en-US" w:eastAsia="zh-CN"/>
        </w:rPr>
      </w:pPr>
      <w:r>
        <w:rPr>
          <w:rFonts w:hint="eastAsia" w:ascii="宋体" w:hAnsi="宋体" w:cs="宋体"/>
          <w:color w:val="auto"/>
          <w:szCs w:val="21"/>
        </w:rPr>
        <w:t>乙方：</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p>
    <w:p w14:paraId="4DA8DD8F">
      <w:pPr>
        <w:keepNext w:val="0"/>
        <w:keepLines w:val="0"/>
        <w:pageBreakBefore w:val="0"/>
        <w:widowControl w:val="0"/>
        <w:kinsoku/>
        <w:wordWrap/>
        <w:overflowPunct/>
        <w:topLinePunct w:val="0"/>
        <w:autoSpaceDE/>
        <w:autoSpaceDN/>
        <w:bidi w:val="0"/>
        <w:adjustRightInd/>
        <w:snapToGrid/>
        <w:spacing w:line="360" w:lineRule="auto"/>
        <w:ind w:right="210" w:rightChars="100" w:firstLine="420" w:firstLineChars="200"/>
        <w:jc w:val="both"/>
        <w:textAlignment w:val="auto"/>
        <w:rPr>
          <w:rFonts w:hint="eastAsia" w:ascii="宋体" w:hAnsi="宋体" w:cs="宋体"/>
          <w:color w:val="auto"/>
          <w:szCs w:val="21"/>
        </w:rPr>
      </w:pPr>
      <w:r>
        <w:rPr>
          <w:rFonts w:hint="eastAsia" w:ascii="宋体" w:hAnsi="宋体" w:cs="宋体"/>
          <w:color w:val="auto"/>
          <w:szCs w:val="21"/>
        </w:rPr>
        <w:t>按照政府采购程序组织公开招标，确定乙方为中标供应商。依据《中华人民共和国政府采购法》《中华人民共和国民法典》以及招标文件、中标供应商的投标文件正本和澄清表（函）、中标通知书，经甲、乙双方协商，达成如下条款：</w:t>
      </w:r>
    </w:p>
    <w:p w14:paraId="459C4611">
      <w:pPr>
        <w:tabs>
          <w:tab w:val="left" w:pos="480"/>
        </w:tabs>
        <w:spacing w:line="360" w:lineRule="auto"/>
        <w:ind w:firstLine="422" w:firstLineChars="200"/>
        <w:jc w:val="both"/>
        <w:rPr>
          <w:rFonts w:ascii="宋体" w:hAnsi="宋体" w:cs="宋体"/>
          <w:b/>
          <w:color w:val="auto"/>
          <w:szCs w:val="21"/>
        </w:rPr>
      </w:pPr>
      <w:r>
        <w:rPr>
          <w:rFonts w:hint="eastAsia" w:ascii="宋体" w:hAnsi="宋体" w:cs="宋体"/>
          <w:b/>
          <w:color w:val="auto"/>
          <w:szCs w:val="21"/>
        </w:rPr>
        <w:t>一、合同标的物内容及数量</w:t>
      </w:r>
      <w:r>
        <w:rPr>
          <w:rFonts w:hint="eastAsia" w:ascii="宋体" w:hAnsi="宋体" w:cs="宋体"/>
          <w:color w:val="auto"/>
          <w:szCs w:val="21"/>
        </w:rPr>
        <w:t>（以投标文件正本和澄清表〈函〉为准）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634"/>
        <w:gridCol w:w="1073"/>
        <w:gridCol w:w="1233"/>
        <w:gridCol w:w="1316"/>
        <w:gridCol w:w="2211"/>
      </w:tblGrid>
      <w:tr w14:paraId="5A6BA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44B01679">
            <w:pPr>
              <w:tabs>
                <w:tab w:val="left" w:pos="480"/>
              </w:tabs>
              <w:spacing w:line="360" w:lineRule="auto"/>
              <w:jc w:val="center"/>
              <w:rPr>
                <w:rFonts w:ascii="宋体" w:hAnsi="宋体" w:cs="宋体"/>
                <w:color w:val="auto"/>
                <w:szCs w:val="21"/>
              </w:rPr>
            </w:pPr>
            <w:r>
              <w:rPr>
                <w:rFonts w:hint="eastAsia" w:ascii="宋体" w:hAnsi="宋体" w:cs="宋体"/>
                <w:color w:val="auto"/>
                <w:szCs w:val="21"/>
              </w:rPr>
              <w:t>序号</w:t>
            </w:r>
          </w:p>
        </w:tc>
        <w:tc>
          <w:tcPr>
            <w:tcW w:w="1634" w:type="dxa"/>
            <w:tcBorders>
              <w:top w:val="single" w:color="auto" w:sz="4" w:space="0"/>
              <w:left w:val="single" w:color="auto" w:sz="4" w:space="0"/>
              <w:bottom w:val="single" w:color="auto" w:sz="4" w:space="0"/>
              <w:right w:val="single" w:color="auto" w:sz="4" w:space="0"/>
            </w:tcBorders>
            <w:vAlign w:val="center"/>
          </w:tcPr>
          <w:p w14:paraId="420FE530">
            <w:pPr>
              <w:tabs>
                <w:tab w:val="left" w:pos="480"/>
              </w:tabs>
              <w:spacing w:line="360" w:lineRule="auto"/>
              <w:jc w:val="center"/>
              <w:rPr>
                <w:rFonts w:ascii="宋体" w:hAnsi="宋体" w:cs="宋体"/>
                <w:color w:val="auto"/>
                <w:szCs w:val="21"/>
              </w:rPr>
            </w:pPr>
            <w:r>
              <w:rPr>
                <w:rFonts w:hint="eastAsia" w:ascii="宋体" w:hAnsi="宋体" w:cs="宋体"/>
                <w:color w:val="auto"/>
                <w:szCs w:val="21"/>
              </w:rPr>
              <w:t>货物名称</w:t>
            </w:r>
          </w:p>
        </w:tc>
        <w:tc>
          <w:tcPr>
            <w:tcW w:w="1073" w:type="dxa"/>
            <w:tcBorders>
              <w:top w:val="single" w:color="auto" w:sz="4" w:space="0"/>
              <w:left w:val="single" w:color="auto" w:sz="4" w:space="0"/>
              <w:bottom w:val="single" w:color="auto" w:sz="4" w:space="0"/>
              <w:right w:val="single" w:color="auto" w:sz="4" w:space="0"/>
            </w:tcBorders>
            <w:vAlign w:val="center"/>
          </w:tcPr>
          <w:p w14:paraId="54B01101">
            <w:pPr>
              <w:tabs>
                <w:tab w:val="left" w:pos="480"/>
              </w:tabs>
              <w:spacing w:line="360" w:lineRule="auto"/>
              <w:jc w:val="center"/>
              <w:rPr>
                <w:rFonts w:ascii="宋体" w:hAnsi="宋体" w:cs="宋体"/>
                <w:color w:val="auto"/>
                <w:szCs w:val="21"/>
              </w:rPr>
            </w:pPr>
            <w:r>
              <w:rPr>
                <w:rFonts w:hint="eastAsia" w:ascii="宋体" w:hAnsi="宋体" w:cs="宋体"/>
                <w:color w:val="auto"/>
                <w:szCs w:val="21"/>
              </w:rPr>
              <w:t>数量</w:t>
            </w:r>
          </w:p>
        </w:tc>
        <w:tc>
          <w:tcPr>
            <w:tcW w:w="1233" w:type="dxa"/>
            <w:tcBorders>
              <w:top w:val="single" w:color="auto" w:sz="4" w:space="0"/>
              <w:left w:val="single" w:color="auto" w:sz="4" w:space="0"/>
              <w:bottom w:val="single" w:color="auto" w:sz="4" w:space="0"/>
              <w:right w:val="single" w:color="auto" w:sz="4" w:space="0"/>
            </w:tcBorders>
            <w:vAlign w:val="center"/>
          </w:tcPr>
          <w:p w14:paraId="241C0F02">
            <w:pPr>
              <w:tabs>
                <w:tab w:val="left" w:pos="480"/>
              </w:tabs>
              <w:spacing w:line="360" w:lineRule="auto"/>
              <w:jc w:val="center"/>
              <w:rPr>
                <w:rFonts w:ascii="宋体" w:hAnsi="宋体" w:cs="宋体"/>
                <w:color w:val="auto"/>
                <w:szCs w:val="21"/>
              </w:rPr>
            </w:pPr>
            <w:r>
              <w:rPr>
                <w:rFonts w:hint="eastAsia" w:ascii="宋体" w:hAnsi="宋体" w:cs="宋体"/>
                <w:color w:val="auto"/>
                <w:szCs w:val="21"/>
              </w:rPr>
              <w:t>产地</w:t>
            </w:r>
          </w:p>
        </w:tc>
        <w:tc>
          <w:tcPr>
            <w:tcW w:w="1316" w:type="dxa"/>
            <w:tcBorders>
              <w:top w:val="single" w:color="auto" w:sz="4" w:space="0"/>
              <w:left w:val="single" w:color="auto" w:sz="4" w:space="0"/>
              <w:bottom w:val="single" w:color="auto" w:sz="4" w:space="0"/>
              <w:right w:val="single" w:color="auto" w:sz="4" w:space="0"/>
            </w:tcBorders>
            <w:vAlign w:val="center"/>
          </w:tcPr>
          <w:p w14:paraId="72B17EDF">
            <w:pPr>
              <w:tabs>
                <w:tab w:val="left" w:pos="480"/>
              </w:tabs>
              <w:jc w:val="center"/>
              <w:rPr>
                <w:rFonts w:ascii="宋体" w:hAnsi="宋体" w:cs="宋体"/>
                <w:color w:val="auto"/>
                <w:szCs w:val="21"/>
              </w:rPr>
            </w:pPr>
            <w:r>
              <w:rPr>
                <w:rFonts w:hint="eastAsia" w:ascii="宋体" w:hAnsi="宋体" w:cs="宋体"/>
                <w:color w:val="auto"/>
                <w:szCs w:val="21"/>
              </w:rPr>
              <w:t>品牌</w:t>
            </w:r>
          </w:p>
        </w:tc>
        <w:tc>
          <w:tcPr>
            <w:tcW w:w="2211" w:type="dxa"/>
            <w:tcBorders>
              <w:top w:val="single" w:color="auto" w:sz="4" w:space="0"/>
              <w:left w:val="single" w:color="auto" w:sz="4" w:space="0"/>
              <w:bottom w:val="single" w:color="auto" w:sz="4" w:space="0"/>
              <w:right w:val="single" w:color="auto" w:sz="4" w:space="0"/>
            </w:tcBorders>
            <w:vAlign w:val="center"/>
          </w:tcPr>
          <w:p w14:paraId="06D06C93">
            <w:pPr>
              <w:tabs>
                <w:tab w:val="left" w:pos="480"/>
              </w:tabs>
              <w:spacing w:line="360" w:lineRule="auto"/>
              <w:jc w:val="center"/>
              <w:rPr>
                <w:rFonts w:ascii="宋体" w:hAnsi="宋体" w:cs="宋体"/>
                <w:color w:val="auto"/>
                <w:szCs w:val="21"/>
              </w:rPr>
            </w:pPr>
            <w:r>
              <w:rPr>
                <w:rFonts w:hint="eastAsia" w:ascii="宋体" w:hAnsi="宋体" w:cs="宋体"/>
                <w:color w:val="auto"/>
                <w:szCs w:val="21"/>
              </w:rPr>
              <w:t>备注</w:t>
            </w:r>
          </w:p>
        </w:tc>
      </w:tr>
      <w:tr w14:paraId="6C990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324EA951">
            <w:pPr>
              <w:tabs>
                <w:tab w:val="left" w:pos="480"/>
              </w:tabs>
              <w:spacing w:line="360" w:lineRule="auto"/>
              <w:jc w:val="center"/>
              <w:rPr>
                <w:rFonts w:ascii="宋体" w:hAnsi="宋体" w:cs="宋体"/>
                <w:color w:val="auto"/>
                <w:szCs w:val="21"/>
              </w:rPr>
            </w:pPr>
            <w:r>
              <w:rPr>
                <w:rFonts w:hint="eastAsia" w:ascii="宋体" w:hAnsi="宋体" w:cs="宋体"/>
                <w:color w:val="auto"/>
                <w:szCs w:val="21"/>
              </w:rPr>
              <w:t>1</w:t>
            </w:r>
          </w:p>
        </w:tc>
        <w:tc>
          <w:tcPr>
            <w:tcW w:w="1634" w:type="dxa"/>
            <w:tcBorders>
              <w:top w:val="single" w:color="auto" w:sz="4" w:space="0"/>
              <w:left w:val="single" w:color="auto" w:sz="4" w:space="0"/>
              <w:bottom w:val="single" w:color="auto" w:sz="4" w:space="0"/>
              <w:right w:val="single" w:color="auto" w:sz="4" w:space="0"/>
            </w:tcBorders>
            <w:vAlign w:val="center"/>
          </w:tcPr>
          <w:p w14:paraId="490F7752">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14:paraId="420A8641">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14:paraId="6F0DC703">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14:paraId="6D834F43">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14:paraId="7F434B86">
            <w:pPr>
              <w:tabs>
                <w:tab w:val="left" w:pos="480"/>
              </w:tabs>
              <w:spacing w:line="360" w:lineRule="auto"/>
              <w:jc w:val="center"/>
              <w:rPr>
                <w:rFonts w:ascii="宋体" w:hAnsi="宋体" w:cs="宋体"/>
                <w:color w:val="auto"/>
                <w:szCs w:val="21"/>
              </w:rPr>
            </w:pPr>
          </w:p>
        </w:tc>
      </w:tr>
      <w:tr w14:paraId="453C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54FBF057">
            <w:pPr>
              <w:tabs>
                <w:tab w:val="left" w:pos="480"/>
              </w:tabs>
              <w:spacing w:line="360" w:lineRule="auto"/>
              <w:jc w:val="center"/>
              <w:rPr>
                <w:rFonts w:ascii="宋体" w:hAnsi="宋体" w:cs="宋体"/>
                <w:color w:val="auto"/>
                <w:szCs w:val="21"/>
              </w:rPr>
            </w:pPr>
            <w:r>
              <w:rPr>
                <w:rFonts w:hint="eastAsia" w:ascii="宋体" w:hAnsi="宋体" w:cs="宋体"/>
                <w:color w:val="auto"/>
                <w:szCs w:val="21"/>
              </w:rPr>
              <w:t>2</w:t>
            </w:r>
          </w:p>
        </w:tc>
        <w:tc>
          <w:tcPr>
            <w:tcW w:w="1634" w:type="dxa"/>
            <w:tcBorders>
              <w:top w:val="single" w:color="auto" w:sz="4" w:space="0"/>
              <w:left w:val="single" w:color="auto" w:sz="4" w:space="0"/>
              <w:bottom w:val="single" w:color="auto" w:sz="4" w:space="0"/>
              <w:right w:val="single" w:color="auto" w:sz="4" w:space="0"/>
            </w:tcBorders>
            <w:vAlign w:val="center"/>
          </w:tcPr>
          <w:p w14:paraId="353E5D74">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14:paraId="128BF122">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14:paraId="2E69D128">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14:paraId="360BC047">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14:paraId="74734F2C">
            <w:pPr>
              <w:tabs>
                <w:tab w:val="left" w:pos="480"/>
              </w:tabs>
              <w:spacing w:line="360" w:lineRule="auto"/>
              <w:jc w:val="center"/>
              <w:rPr>
                <w:rFonts w:ascii="宋体" w:hAnsi="宋体" w:cs="宋体"/>
                <w:color w:val="auto"/>
                <w:szCs w:val="21"/>
              </w:rPr>
            </w:pPr>
          </w:p>
        </w:tc>
      </w:tr>
      <w:tr w14:paraId="7093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3A167F79">
            <w:pPr>
              <w:tabs>
                <w:tab w:val="left" w:pos="480"/>
              </w:tabs>
              <w:spacing w:line="360" w:lineRule="auto"/>
              <w:jc w:val="center"/>
              <w:rPr>
                <w:rFonts w:ascii="宋体" w:hAnsi="宋体" w:cs="宋体"/>
                <w:color w:val="auto"/>
                <w:szCs w:val="21"/>
              </w:rPr>
            </w:pPr>
            <w:r>
              <w:rPr>
                <w:rFonts w:hint="eastAsia" w:ascii="宋体" w:hAnsi="宋体" w:cs="宋体"/>
                <w:color w:val="auto"/>
                <w:szCs w:val="21"/>
              </w:rPr>
              <w:t>3</w:t>
            </w:r>
          </w:p>
        </w:tc>
        <w:tc>
          <w:tcPr>
            <w:tcW w:w="1634" w:type="dxa"/>
            <w:tcBorders>
              <w:top w:val="single" w:color="auto" w:sz="4" w:space="0"/>
              <w:left w:val="single" w:color="auto" w:sz="4" w:space="0"/>
              <w:bottom w:val="single" w:color="auto" w:sz="4" w:space="0"/>
              <w:right w:val="single" w:color="auto" w:sz="4" w:space="0"/>
            </w:tcBorders>
            <w:vAlign w:val="center"/>
          </w:tcPr>
          <w:p w14:paraId="3E495307">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14:paraId="451515C6">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14:paraId="59E54C61">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14:paraId="74BF14D8">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14:paraId="18EC7CB5">
            <w:pPr>
              <w:tabs>
                <w:tab w:val="left" w:pos="480"/>
              </w:tabs>
              <w:spacing w:line="360" w:lineRule="auto"/>
              <w:jc w:val="center"/>
              <w:rPr>
                <w:rFonts w:ascii="宋体" w:hAnsi="宋体" w:cs="宋体"/>
                <w:color w:val="auto"/>
                <w:szCs w:val="21"/>
              </w:rPr>
            </w:pPr>
          </w:p>
        </w:tc>
      </w:tr>
      <w:tr w14:paraId="3BC75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20365AC5">
            <w:pPr>
              <w:tabs>
                <w:tab w:val="left" w:pos="480"/>
              </w:tabs>
              <w:spacing w:line="360" w:lineRule="auto"/>
              <w:jc w:val="center"/>
              <w:rPr>
                <w:rFonts w:ascii="宋体" w:hAnsi="宋体" w:cs="宋体"/>
                <w:color w:val="auto"/>
                <w:szCs w:val="21"/>
              </w:rPr>
            </w:pPr>
            <w:r>
              <w:rPr>
                <w:rFonts w:hint="eastAsia" w:ascii="宋体" w:hAnsi="宋体" w:cs="宋体"/>
                <w:color w:val="auto"/>
                <w:szCs w:val="21"/>
              </w:rPr>
              <w:t>……</w:t>
            </w:r>
          </w:p>
        </w:tc>
        <w:tc>
          <w:tcPr>
            <w:tcW w:w="1634" w:type="dxa"/>
            <w:tcBorders>
              <w:top w:val="single" w:color="auto" w:sz="4" w:space="0"/>
              <w:left w:val="single" w:color="auto" w:sz="4" w:space="0"/>
              <w:bottom w:val="single" w:color="auto" w:sz="4" w:space="0"/>
              <w:right w:val="single" w:color="auto" w:sz="4" w:space="0"/>
            </w:tcBorders>
            <w:vAlign w:val="center"/>
          </w:tcPr>
          <w:p w14:paraId="05F5CE1E">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14:paraId="01C22166">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14:paraId="08E5397E">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14:paraId="0ABFAD40">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14:paraId="52EF9990">
            <w:pPr>
              <w:tabs>
                <w:tab w:val="left" w:pos="480"/>
              </w:tabs>
              <w:spacing w:line="360" w:lineRule="auto"/>
              <w:jc w:val="center"/>
              <w:rPr>
                <w:rFonts w:ascii="宋体" w:hAnsi="宋体" w:cs="宋体"/>
                <w:color w:val="auto"/>
                <w:szCs w:val="21"/>
              </w:rPr>
            </w:pPr>
          </w:p>
        </w:tc>
      </w:tr>
      <w:tr w14:paraId="69CD9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568E190B">
            <w:pPr>
              <w:tabs>
                <w:tab w:val="left" w:pos="480"/>
              </w:tabs>
              <w:spacing w:line="360" w:lineRule="auto"/>
              <w:jc w:val="center"/>
              <w:rPr>
                <w:rFonts w:ascii="宋体" w:hAnsi="宋体" w:cs="宋体"/>
                <w:color w:val="auto"/>
                <w:szCs w:val="21"/>
              </w:rPr>
            </w:pPr>
            <w:r>
              <w:rPr>
                <w:rFonts w:hint="eastAsia" w:ascii="宋体" w:hAnsi="宋体" w:cs="宋体"/>
                <w:color w:val="auto"/>
                <w:szCs w:val="21"/>
              </w:rPr>
              <w:t>说明</w:t>
            </w:r>
          </w:p>
        </w:tc>
        <w:tc>
          <w:tcPr>
            <w:tcW w:w="7467" w:type="dxa"/>
            <w:gridSpan w:val="5"/>
            <w:tcBorders>
              <w:top w:val="single" w:color="auto" w:sz="4" w:space="0"/>
              <w:left w:val="single" w:color="auto" w:sz="4" w:space="0"/>
              <w:bottom w:val="single" w:color="auto" w:sz="4" w:space="0"/>
              <w:right w:val="single" w:color="auto" w:sz="4" w:space="0"/>
            </w:tcBorders>
            <w:vAlign w:val="center"/>
          </w:tcPr>
          <w:p w14:paraId="5C5B3FEB">
            <w:pPr>
              <w:tabs>
                <w:tab w:val="left" w:pos="480"/>
              </w:tabs>
              <w:spacing w:line="360" w:lineRule="auto"/>
              <w:jc w:val="center"/>
              <w:rPr>
                <w:rFonts w:ascii="宋体" w:hAnsi="宋体" w:cs="宋体"/>
                <w:color w:val="auto"/>
                <w:szCs w:val="21"/>
              </w:rPr>
            </w:pPr>
          </w:p>
        </w:tc>
      </w:tr>
    </w:tbl>
    <w:p w14:paraId="0FAE405C">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二、合同价款</w:t>
      </w:r>
    </w:p>
    <w:p w14:paraId="71D2644D">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（一）合同总价款为人民币（大写）</w:t>
      </w:r>
      <w:r>
        <w:rPr>
          <w:rFonts w:hint="eastAsia" w:ascii="宋体" w:hAnsi="宋体" w:cs="宋体"/>
          <w:color w:val="auto"/>
          <w:szCs w:val="21"/>
          <w:u w:val="single"/>
        </w:rPr>
        <w:t xml:space="preserve">               </w:t>
      </w:r>
      <w:r>
        <w:rPr>
          <w:rFonts w:hint="eastAsia" w:ascii="宋体" w:hAnsi="宋体" w:cs="宋体"/>
          <w:color w:val="auto"/>
          <w:szCs w:val="21"/>
        </w:rPr>
        <w:t>元整（¥</w:t>
      </w:r>
      <w:r>
        <w:rPr>
          <w:rFonts w:hint="eastAsia" w:ascii="宋体" w:hAnsi="宋体" w:cs="宋体"/>
          <w:color w:val="auto"/>
          <w:szCs w:val="21"/>
          <w:u w:val="single"/>
        </w:rPr>
        <w:t xml:space="preserve">           </w:t>
      </w:r>
      <w:r>
        <w:rPr>
          <w:rFonts w:hint="eastAsia" w:ascii="宋体" w:hAnsi="宋体" w:cs="宋体"/>
          <w:color w:val="auto"/>
          <w:szCs w:val="21"/>
        </w:rPr>
        <w:t>元）。</w:t>
      </w:r>
    </w:p>
    <w:p w14:paraId="40302437">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（二）合同总价包括：完成本次采购货物（设备本体及附件、备品备件及专用工具）的供货、运输、安装（包含所需的配件及辅材等）、调试、验收、售后服务及税金等一切费用。</w:t>
      </w:r>
    </w:p>
    <w:p w14:paraId="768D2D3F">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（三）合同总价一次性包死，不受市场价格变化因素的影响。</w:t>
      </w:r>
    </w:p>
    <w:p w14:paraId="4B0C15BA">
      <w:pPr>
        <w:tabs>
          <w:tab w:val="left" w:pos="480"/>
        </w:tabs>
        <w:spacing w:line="360" w:lineRule="auto"/>
        <w:ind w:firstLine="413" w:firstLineChars="196"/>
        <w:rPr>
          <w:rFonts w:ascii="宋体" w:hAnsi="宋体" w:cs="宋体"/>
          <w:bCs/>
          <w:color w:val="auto"/>
          <w:szCs w:val="21"/>
          <w:highlight w:val="none"/>
        </w:rPr>
      </w:pPr>
      <w:r>
        <w:rPr>
          <w:rFonts w:hint="eastAsia" w:ascii="宋体" w:hAnsi="宋体" w:cs="宋体"/>
          <w:b/>
          <w:color w:val="auto"/>
          <w:szCs w:val="21"/>
        </w:rPr>
        <w:t>三、款项结算</w:t>
      </w:r>
    </w:p>
    <w:p w14:paraId="67E92A18">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四、保密条款及知识产权</w:t>
      </w:r>
    </w:p>
    <w:p w14:paraId="6FD95951">
      <w:pPr>
        <w:pStyle w:val="9"/>
        <w:spacing w:beforeLines="0" w:afterLines="0"/>
        <w:ind w:firstLine="420"/>
        <w:rPr>
          <w:rFonts w:ascii="宋体" w:hAnsi="宋体"/>
          <w:color w:val="auto"/>
          <w:sz w:val="21"/>
          <w:szCs w:val="21"/>
        </w:rPr>
      </w:pPr>
      <w:r>
        <w:rPr>
          <w:rFonts w:hint="eastAsia" w:ascii="宋体" w:hAnsi="宋体"/>
          <w:color w:val="auto"/>
          <w:sz w:val="21"/>
          <w:szCs w:val="21"/>
        </w:rPr>
        <w:t>（一）乙方保证对从甲方取得的非公开及涉密信息（技术信息、政策信息及其他涉密信息）予以保密。未经甲方书面同意，不得向任何第三方泄露该涉密信息的全部或部分内容。</w:t>
      </w:r>
    </w:p>
    <w:p w14:paraId="553379F4">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二）乙方保证，甲方在使用乙方所提供的服务时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3B63BD39">
      <w:pPr>
        <w:pStyle w:val="2"/>
        <w:rPr>
          <w:color w:val="auto"/>
        </w:rPr>
      </w:pPr>
      <w:r>
        <w:rPr>
          <w:rFonts w:hint="eastAsia" w:ascii="宋体" w:hAnsi="宋体" w:cs="宋体"/>
          <w:color w:val="auto"/>
          <w:sz w:val="21"/>
          <w:szCs w:val="21"/>
        </w:rPr>
        <w:t>（三）设备购入后，所产生的科研成果归甲方单独所有。</w:t>
      </w:r>
    </w:p>
    <w:p w14:paraId="4DCF1D97">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五、双方的权利和义务</w:t>
      </w:r>
    </w:p>
    <w:p w14:paraId="53910C87">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（一）甲方的权利和义务</w:t>
      </w:r>
    </w:p>
    <w:p w14:paraId="6732FCC8">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甲方权利：组织使用单位严格按照招标文件及投标文件要求和标准验收货物。</w:t>
      </w:r>
    </w:p>
    <w:p w14:paraId="5BE0579A">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甲方义务：积极配合乙方验收、安装、调试工作。</w:t>
      </w:r>
    </w:p>
    <w:p w14:paraId="58CF91C4">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（二）乙方的权利和义务</w:t>
      </w:r>
    </w:p>
    <w:p w14:paraId="51437723">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乙方权利：按照合同约定要求甲方及时付款。</w:t>
      </w:r>
    </w:p>
    <w:p w14:paraId="0ADF50B9">
      <w:pPr>
        <w:tabs>
          <w:tab w:val="left" w:pos="480"/>
        </w:tabs>
        <w:spacing w:line="360" w:lineRule="auto"/>
        <w:ind w:firstLine="420" w:firstLineChars="200"/>
        <w:rPr>
          <w:color w:val="auto"/>
        </w:rPr>
      </w:pPr>
      <w:r>
        <w:rPr>
          <w:rFonts w:hint="eastAsia" w:ascii="宋体" w:hAnsi="宋体" w:cs="宋体"/>
          <w:bCs/>
          <w:color w:val="auto"/>
          <w:szCs w:val="21"/>
        </w:rPr>
        <w:t xml:space="preserve">    乙方义务：按照合同约定时间，按甲方指定地点提供货物，配合验收工作。                  </w:t>
      </w:r>
    </w:p>
    <w:p w14:paraId="798B5D75">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六、交货条件：</w:t>
      </w:r>
    </w:p>
    <w:p w14:paraId="3B32A941">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（一）交货地点：</w:t>
      </w:r>
    </w:p>
    <w:p w14:paraId="31B0157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（二）交货期：</w:t>
      </w:r>
    </w:p>
    <w:p w14:paraId="27019C55">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七、运输</w:t>
      </w:r>
    </w:p>
    <w:p w14:paraId="0FA3C2B2">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（一）运输由乙方负责，运杂费已包含在合同总价内，包括从货物供应地点所含的运输费、装卸费、仓储费、保险费等。</w:t>
      </w:r>
    </w:p>
    <w:p w14:paraId="73398824">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（二）运输方式由乙方自行选择，但必须保证按期交货。</w:t>
      </w:r>
    </w:p>
    <w:p w14:paraId="688AA91C">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涉及的商品包装和快递包装，均应符合《商品包装政府采购需求标准（试行）》《快递包装政府采购需求标准（试行）》的要求，包装应适应于远距离运输、防潮、防震、防锈和防野蛮装卸，以确保货物安全无损运抵指定地点。在运输过程中货物、设备的全部风险由乙方承担。</w:t>
      </w:r>
    </w:p>
    <w:p w14:paraId="7809E4B7">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八、质量保证</w:t>
      </w:r>
    </w:p>
    <w:p w14:paraId="27E2BFC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乙方所供货物必须执行下列条款：</w:t>
      </w:r>
    </w:p>
    <w:p w14:paraId="0165B5B6">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（一）设备到位后，工程师应立即进行安装、调试，同时对操作人员进行严格的规范化培训，使甲方人员能够熟练操作设备。</w:t>
      </w:r>
    </w:p>
    <w:p w14:paraId="1E90F0E6">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（二）保证技术指标先进、质量性能可靠、进货渠道正常，配置合理，全面满足招标要求。</w:t>
      </w:r>
    </w:p>
    <w:p w14:paraId="05E528DB">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（三）符合国家有关规范要求，确保达到最佳运行状态。</w:t>
      </w:r>
    </w:p>
    <w:p w14:paraId="4973D35D">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（四）具有良好的外观，适合安装场所的使用。</w:t>
      </w:r>
    </w:p>
    <w:p w14:paraId="30A088C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（五）自安装、调试正常运行并验收合格之日起：</w:t>
      </w:r>
    </w:p>
    <w:p w14:paraId="57A19865">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w:t>
      </w:r>
      <w:r>
        <w:rPr>
          <w:rFonts w:hint="eastAsia" w:ascii="宋体" w:hAnsi="宋体"/>
          <w:color w:val="auto"/>
          <w:szCs w:val="21"/>
        </w:rPr>
        <w:t>免费质保期为设备（产品）自安装调试验收合格之日起</w:t>
      </w:r>
      <w:r>
        <w:rPr>
          <w:rFonts w:hint="eastAsia" w:ascii="宋体" w:hAnsi="宋体" w:cs="宋体"/>
          <w:bCs/>
          <w:color w:val="auto"/>
          <w:szCs w:val="21"/>
          <w:u w:val="single"/>
          <w:lang w:val="en-US" w:eastAsia="zh-CN"/>
        </w:rPr>
        <w:t xml:space="preserve">            </w:t>
      </w:r>
      <w:bookmarkStart w:id="0" w:name="_GoBack"/>
      <w:bookmarkEnd w:id="0"/>
      <w:r>
        <w:rPr>
          <w:rFonts w:hint="eastAsia" w:ascii="宋体" w:hAnsi="宋体" w:cs="宋体"/>
          <w:bCs/>
          <w:color w:val="auto"/>
          <w:szCs w:val="21"/>
        </w:rPr>
        <w:t>年</w:t>
      </w:r>
      <w:r>
        <w:rPr>
          <w:rFonts w:hint="eastAsia" w:ascii="宋体" w:hAnsi="宋体" w:cs="Arial"/>
          <w:bCs/>
          <w:color w:val="auto"/>
          <w:szCs w:val="21"/>
        </w:rPr>
        <w:t>。</w:t>
      </w:r>
    </w:p>
    <w:p w14:paraId="76A821F0">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免费保修期内，同一主要部件出现质量问题经过一次维修后仍无法正常使用，可以更换同型号、同规格的产品，对问题较大短期内暂不能解决的，为不影响甲方正常使用，乙方在2日内免费提供替代产品，确保正常运行；</w:t>
      </w:r>
    </w:p>
    <w:p w14:paraId="31910D3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3、30天内，如出现质量问题，可以选择换货或退货；</w:t>
      </w:r>
    </w:p>
    <w:p w14:paraId="08F5C8E3">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4、30至60天内，如出现质量问题，可选择换货。</w:t>
      </w:r>
    </w:p>
    <w:p w14:paraId="46B5B58E">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（五）设备因产品质量或设计缺陷等问题，而发生的差错或纠纷乙方及生产厂商承担全部责任。如因此给甲方造成损失的，甲方有权向乙方追偿。</w:t>
      </w:r>
    </w:p>
    <w:p w14:paraId="38E71BBC">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九、售后服务</w:t>
      </w:r>
    </w:p>
    <w:p w14:paraId="6A08C8D4">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乙方所供货物提供以下售后服务：</w:t>
      </w:r>
    </w:p>
    <w:p w14:paraId="6EB18346">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（一）质保期内：</w:t>
      </w:r>
    </w:p>
    <w:p w14:paraId="5F3A6CF7">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1、供货商应告知采购人产品的使用、维护、保养等有关注意事项，并根据招投标文件要求对采购人的人员进行培训。</w:t>
      </w:r>
    </w:p>
    <w:p w14:paraId="406C4B15">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发生质量问题，接到甲方通知后，应派出专业的维修人员到现场进行检测维修，发生的全部费用由乙方承担，若需送回生产厂，乙方承担往返费用；在产品正常使用寿命内发生的任何产品质量问题，接到报修通知，维修响应时间为</w:t>
      </w:r>
      <w:r>
        <w:rPr>
          <w:rFonts w:hint="eastAsia" w:ascii="宋体" w:hAnsi="宋体" w:cs="宋体"/>
          <w:bCs/>
          <w:color w:val="auto"/>
          <w:szCs w:val="21"/>
          <w:u w:val="single"/>
        </w:rPr>
        <w:t xml:space="preserve">   </w:t>
      </w:r>
      <w:r>
        <w:rPr>
          <w:rFonts w:hint="eastAsia" w:ascii="宋体" w:hAnsi="宋体" w:cs="宋体"/>
          <w:bCs/>
          <w:color w:val="auto"/>
          <w:szCs w:val="21"/>
        </w:rPr>
        <w:t>小时内，</w:t>
      </w:r>
      <w:r>
        <w:rPr>
          <w:rFonts w:hint="eastAsia" w:ascii="宋体" w:hAnsi="宋体" w:cs="宋体"/>
          <w:bCs/>
          <w:color w:val="auto"/>
          <w:szCs w:val="21"/>
          <w:u w:val="single"/>
        </w:rPr>
        <w:t xml:space="preserve">   </w:t>
      </w:r>
      <w:r>
        <w:rPr>
          <w:rFonts w:hint="eastAsia" w:ascii="宋体" w:hAnsi="宋体" w:cs="宋体"/>
          <w:bCs/>
          <w:color w:val="auto"/>
          <w:szCs w:val="21"/>
        </w:rPr>
        <w:t>小时内到达现场，排除故障的期限不得超过</w:t>
      </w:r>
      <w:r>
        <w:rPr>
          <w:rFonts w:hint="eastAsia" w:ascii="宋体" w:hAnsi="宋体" w:cs="宋体"/>
          <w:bCs/>
          <w:color w:val="auto"/>
          <w:szCs w:val="21"/>
          <w:u w:val="single"/>
        </w:rPr>
        <w:t xml:space="preserve">   </w:t>
      </w:r>
      <w:r>
        <w:rPr>
          <w:rFonts w:hint="eastAsia" w:ascii="宋体" w:hAnsi="宋体" w:cs="宋体"/>
          <w:bCs/>
          <w:color w:val="auto"/>
          <w:szCs w:val="21"/>
        </w:rPr>
        <w:t>小时，甲方有权自行委托第三方进行维修，维修费用由乙方承担，相关费用甲方有权在质量保修金中扣除，不足部分乙方予以赔偿。在保修期外，只收取维修配件费和差旅费用，如产生人工费、维修费等其他费用由乙方承担，并且保修期内提供至少</w:t>
      </w:r>
      <w:r>
        <w:rPr>
          <w:rFonts w:hint="eastAsia" w:ascii="宋体" w:hAnsi="宋体" w:cs="宋体"/>
          <w:bCs/>
          <w:color w:val="auto"/>
          <w:szCs w:val="21"/>
          <w:u w:val="single"/>
        </w:rPr>
        <w:t xml:space="preserve">  </w:t>
      </w:r>
      <w:r>
        <w:rPr>
          <w:rFonts w:hint="eastAsia" w:ascii="宋体" w:hAnsi="宋体" w:cs="宋体"/>
          <w:bCs/>
          <w:color w:val="auto"/>
          <w:szCs w:val="21"/>
        </w:rPr>
        <w:t>次工程师保养和检修，</w:t>
      </w:r>
      <w:r>
        <w:rPr>
          <w:rFonts w:hint="eastAsia" w:ascii="宋体" w:hAnsi="宋体" w:cs="Arial"/>
          <w:bCs/>
          <w:color w:val="auto"/>
          <w:szCs w:val="21"/>
        </w:rPr>
        <w:t>终身维修</w:t>
      </w:r>
      <w:r>
        <w:rPr>
          <w:rFonts w:hint="eastAsia" w:ascii="宋体" w:hAnsi="宋体" w:cs="宋体"/>
          <w:bCs/>
          <w:color w:val="auto"/>
          <w:szCs w:val="21"/>
        </w:rPr>
        <w:t>。</w:t>
      </w:r>
    </w:p>
    <w:p w14:paraId="45500E0B">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3、定期派技术人员到现场走访，给予检查维护；</w:t>
      </w:r>
    </w:p>
    <w:p w14:paraId="4297338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4、如非乙方原因造成的质量问题，乙方有义务根据甲方的要求进行维修或配合维修，如需更换产品或配件，只收取维修配件费和差旅费用，如产生人工费、维修费等其他费用由乙方承担。</w:t>
      </w:r>
    </w:p>
    <w:p w14:paraId="1E58BE9E">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（二）质保期结束前，进行系统测试，全面保养维护，确保正常运行。</w:t>
      </w:r>
    </w:p>
    <w:p w14:paraId="590456C2">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十、技术与服务</w:t>
      </w:r>
    </w:p>
    <w:p w14:paraId="2D9E7BCA">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（一）技术资料：</w:t>
      </w:r>
    </w:p>
    <w:p w14:paraId="64372051">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1、货物合格证；</w:t>
      </w:r>
    </w:p>
    <w:p w14:paraId="309C7B8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2、货物使用说明书（中文）；</w:t>
      </w:r>
    </w:p>
    <w:p w14:paraId="08977472">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3、项目峻工资料、检验测试报告；</w:t>
      </w:r>
    </w:p>
    <w:p w14:paraId="2D9DD211">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4、其它资料。</w:t>
      </w:r>
    </w:p>
    <w:p w14:paraId="7C38413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（二）服务承诺：</w:t>
      </w:r>
    </w:p>
    <w:p w14:paraId="06D070F5">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1、设备（产品）安装、调试和验收：提供设备（产品）现场安装、调试，设备（产品）安装调试在约定时间内完成。安装前，提供安装条件、用水、用电条件说明；</w:t>
      </w:r>
    </w:p>
    <w:p w14:paraId="3A3A1492">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2、培训要求：安装验收后，乙方负责协调厂家在用户所在地对用户进行设备（产品）操作和日常维护的现场培训。包括设备（产品）原理、使用方法和维护方法等；</w:t>
      </w:r>
    </w:p>
    <w:p w14:paraId="2EFC69E5">
      <w:pPr>
        <w:pStyle w:val="8"/>
        <w:ind w:firstLine="420" w:firstLineChars="200"/>
        <w:rPr>
          <w:color w:val="auto"/>
        </w:rPr>
      </w:pPr>
      <w:r>
        <w:rPr>
          <w:rFonts w:hint="eastAsia" w:ascii="宋体" w:hAnsi="宋体" w:cs="宋体"/>
          <w:bCs/>
          <w:color w:val="auto"/>
          <w:szCs w:val="21"/>
        </w:rPr>
        <w:t>3、以投标文件、澄清表（函）、合同和随货物的相关文件为准。</w:t>
      </w:r>
    </w:p>
    <w:p w14:paraId="7D2583A8">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十一、验收</w:t>
      </w:r>
    </w:p>
    <w:p w14:paraId="14048FF0">
      <w:pPr>
        <w:tabs>
          <w:tab w:val="left" w:pos="480"/>
        </w:tabs>
        <w:spacing w:line="360" w:lineRule="auto"/>
        <w:ind w:firstLine="420" w:firstLineChars="200"/>
        <w:rPr>
          <w:rFonts w:hint="eastAsia" w:ascii="宋体" w:hAnsi="宋体" w:cs="宋体"/>
          <w:bCs/>
          <w:color w:val="auto"/>
          <w:szCs w:val="21"/>
        </w:rPr>
      </w:pPr>
      <w:r>
        <w:rPr>
          <w:rFonts w:hint="eastAsia" w:ascii="宋体" w:hAnsi="宋体" w:cs="宋体"/>
          <w:bCs/>
          <w:color w:val="auto"/>
          <w:szCs w:val="21"/>
          <w:lang w:eastAsia="zh-CN"/>
        </w:rPr>
        <w:t>（</w:t>
      </w:r>
      <w:r>
        <w:rPr>
          <w:rFonts w:hint="eastAsia" w:ascii="宋体" w:hAnsi="宋体" w:cs="宋体"/>
          <w:bCs/>
          <w:color w:val="auto"/>
          <w:szCs w:val="21"/>
          <w:lang w:val="en-US" w:eastAsia="zh-CN"/>
        </w:rPr>
        <w:t>一</w:t>
      </w:r>
      <w:r>
        <w:rPr>
          <w:rFonts w:hint="eastAsia" w:ascii="宋体" w:hAnsi="宋体" w:cs="宋体"/>
          <w:bCs/>
          <w:color w:val="auto"/>
          <w:szCs w:val="21"/>
          <w:lang w:eastAsia="zh-CN"/>
        </w:rPr>
        <w:t>）</w:t>
      </w:r>
      <w:r>
        <w:rPr>
          <w:rFonts w:hint="eastAsia" w:ascii="宋体" w:hAnsi="宋体" w:cs="宋体"/>
          <w:bCs/>
          <w:color w:val="auto"/>
          <w:szCs w:val="21"/>
        </w:rPr>
        <w:t>验收时，</w:t>
      </w:r>
      <w:r>
        <w:rPr>
          <w:rFonts w:hint="eastAsia" w:ascii="宋体" w:hAnsi="宋体" w:cs="宋体"/>
          <w:bCs/>
          <w:color w:val="auto"/>
          <w:szCs w:val="21"/>
          <w:lang w:val="en-US" w:eastAsia="zh-CN"/>
        </w:rPr>
        <w:t>乙方</w:t>
      </w:r>
      <w:r>
        <w:rPr>
          <w:rFonts w:hint="eastAsia" w:ascii="宋体" w:hAnsi="宋体" w:cs="宋体"/>
          <w:bCs/>
          <w:color w:val="auto"/>
          <w:szCs w:val="21"/>
        </w:rPr>
        <w:t>所提供的货物为原装、全新产品，货物具备产品合格证，渠道合法，应无条件予以配合</w:t>
      </w:r>
      <w:r>
        <w:rPr>
          <w:rFonts w:hint="eastAsia" w:ascii="宋体" w:hAnsi="宋体" w:cs="宋体"/>
          <w:bCs/>
          <w:color w:val="auto"/>
          <w:szCs w:val="21"/>
          <w:lang w:val="en-US" w:eastAsia="zh-CN"/>
        </w:rPr>
        <w:t>甲方</w:t>
      </w:r>
      <w:r>
        <w:rPr>
          <w:rFonts w:hint="eastAsia" w:ascii="宋体" w:hAnsi="宋体" w:cs="宋体"/>
          <w:bCs/>
          <w:color w:val="auto"/>
          <w:szCs w:val="21"/>
        </w:rPr>
        <w:t>，并提供所需的全部资料。符合国家有关技术规范要求和安全、环保、节能等强制性标准。</w:t>
      </w:r>
    </w:p>
    <w:p w14:paraId="757E04C7">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val="en-US" w:eastAsia="zh-CN"/>
        </w:rPr>
        <w:t>二</w:t>
      </w:r>
      <w:r>
        <w:rPr>
          <w:rFonts w:hint="eastAsia" w:ascii="宋体" w:hAnsi="宋体" w:cs="宋体"/>
          <w:bCs/>
          <w:color w:val="auto"/>
          <w:szCs w:val="21"/>
        </w:rPr>
        <w:t>）乙方应在将产品移交甲方之前或同时，将与该产品有关的全部法律证件提交甲方审核确认。如乙方所供货物为原装进口产品的,应提供相关的进口证明文件。经甲方审核认为上述文件不全或存在瑕疵的，甲方有权拒绝支付货款。甲方对上述文件的审核并不解除乙方对产品所负的权利担保责任。</w:t>
      </w:r>
    </w:p>
    <w:p w14:paraId="7ADF7551">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eastAsia="zh-CN"/>
        </w:rPr>
        <w:t>三</w:t>
      </w:r>
      <w:r>
        <w:rPr>
          <w:rFonts w:hint="eastAsia" w:ascii="宋体" w:hAnsi="宋体" w:cs="宋体"/>
          <w:bCs/>
          <w:color w:val="auto"/>
          <w:szCs w:val="21"/>
        </w:rPr>
        <w:t>）货物到达甲方指定地点后，甲方根据合同要求，进行外观验收，确认产地、规格、型号和数量。</w:t>
      </w:r>
    </w:p>
    <w:p w14:paraId="2561AE18">
      <w:pPr>
        <w:tabs>
          <w:tab w:val="left" w:pos="480"/>
        </w:tabs>
        <w:spacing w:line="360" w:lineRule="auto"/>
        <w:ind w:firstLine="420" w:firstLineChars="200"/>
        <w:rPr>
          <w:rFonts w:hint="eastAsia"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eastAsia="zh-CN"/>
        </w:rPr>
        <w:t>四</w:t>
      </w:r>
      <w:r>
        <w:rPr>
          <w:rFonts w:hint="eastAsia" w:ascii="宋体" w:hAnsi="宋体" w:cs="宋体"/>
          <w:bCs/>
          <w:color w:val="auto"/>
          <w:szCs w:val="21"/>
        </w:rPr>
        <w:t>）货物安装、调试并正常运行后，由乙方进行自检，合格后，准备验收文件，并书面通知甲方。</w:t>
      </w:r>
    </w:p>
    <w:p w14:paraId="02B2E61C">
      <w:pPr>
        <w:tabs>
          <w:tab w:val="left" w:pos="480"/>
        </w:tabs>
        <w:spacing w:line="360" w:lineRule="auto"/>
        <w:ind w:firstLine="420" w:firstLineChars="200"/>
        <w:rPr>
          <w:rFonts w:hint="eastAsia" w:ascii="宋体" w:hAnsi="宋体" w:cs="宋体"/>
          <w:bCs/>
          <w:color w:val="auto"/>
          <w:szCs w:val="21"/>
          <w:lang w:eastAsia="zh-CN"/>
        </w:rPr>
      </w:pPr>
      <w:r>
        <w:rPr>
          <w:rFonts w:hint="eastAsia" w:ascii="宋体" w:hAnsi="宋体" w:cs="宋体"/>
          <w:bCs/>
          <w:color w:val="auto"/>
          <w:szCs w:val="21"/>
          <w:lang w:eastAsia="zh-CN"/>
        </w:rPr>
        <w:t>（</w:t>
      </w:r>
      <w:r>
        <w:rPr>
          <w:rFonts w:hint="eastAsia" w:ascii="宋体" w:hAnsi="宋体" w:cs="宋体"/>
          <w:bCs/>
          <w:color w:val="auto"/>
          <w:szCs w:val="21"/>
          <w:lang w:val="en-US" w:eastAsia="zh-CN"/>
        </w:rPr>
        <w:t>五</w:t>
      </w:r>
      <w:r>
        <w:rPr>
          <w:rFonts w:hint="eastAsia" w:ascii="宋体" w:hAnsi="宋体" w:cs="宋体"/>
          <w:bCs/>
          <w:color w:val="auto"/>
          <w:szCs w:val="21"/>
          <w:lang w:eastAsia="zh-CN"/>
        </w:rPr>
        <w:t>）验收不合格的，乙方无条件更换，并应承担因此产生的全部费用，若因此给甲方造成损失的，还需向甲方承担赔偿责任。</w:t>
      </w:r>
    </w:p>
    <w:p w14:paraId="57EFDF25">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val="en-US" w:eastAsia="zh-CN"/>
        </w:rPr>
        <w:t>六</w:t>
      </w:r>
      <w:r>
        <w:rPr>
          <w:rFonts w:hint="eastAsia" w:ascii="宋体" w:hAnsi="宋体" w:cs="宋体"/>
          <w:bCs/>
          <w:color w:val="auto"/>
          <w:szCs w:val="21"/>
        </w:rPr>
        <w:t>）甲方确认乙方的自检内容后，组织乙方（必要时请有关专家）进行系统验收，验收合格后，填写政府采购项目验收单（一式六份）作为对货物的最终认可。</w:t>
      </w:r>
    </w:p>
    <w:p w14:paraId="02417710">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eastAsia="zh-CN"/>
        </w:rPr>
        <w:t>七</w:t>
      </w:r>
      <w:r>
        <w:rPr>
          <w:rFonts w:hint="eastAsia" w:ascii="宋体" w:hAnsi="宋体" w:cs="宋体"/>
          <w:bCs/>
          <w:color w:val="auto"/>
          <w:szCs w:val="21"/>
        </w:rPr>
        <w:t>）乙方向甲方提交货物实施过程中的所有资料。以便甲方日后管理和维护。</w:t>
      </w:r>
    </w:p>
    <w:p w14:paraId="6D01AD7C">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val="en-US" w:eastAsia="zh-CN"/>
        </w:rPr>
        <w:t>八</w:t>
      </w:r>
      <w:r>
        <w:rPr>
          <w:rFonts w:hint="eastAsia" w:ascii="宋体" w:hAnsi="宋体" w:cs="宋体"/>
          <w:bCs/>
          <w:color w:val="auto"/>
          <w:szCs w:val="21"/>
        </w:rPr>
        <w:t>）验收依据：</w:t>
      </w:r>
    </w:p>
    <w:p w14:paraId="5C195EE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1、招标文件、投标文件、澄清表（函）；</w:t>
      </w:r>
    </w:p>
    <w:p w14:paraId="073A91B6">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2、本合同及附件文本；</w:t>
      </w:r>
    </w:p>
    <w:p w14:paraId="272DD30A">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3、国家相应的标准、规范。</w:t>
      </w:r>
    </w:p>
    <w:p w14:paraId="0273C964">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十二、违约责任</w:t>
      </w:r>
    </w:p>
    <w:p w14:paraId="072CA10B">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（一）依照《政府采购法》《民法典》中的相关条款执行。</w:t>
      </w:r>
    </w:p>
    <w:p w14:paraId="59B44B3B">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未按合同要求提供货物或质量不能满足招标技术要求，乙方必须无条件更换，乙方拒绝更换或更换后仍不能满足招标技术要求或者甲方需求的，甲方有权终止合同，并对乙方的违约行为报监管机构进行相应的处罚，同时乙方应赔偿甲方全部损失。</w:t>
      </w:r>
    </w:p>
    <w:p w14:paraId="429D480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（三）交货期每超过一天，扣除乙方合同总价款的</w:t>
      </w:r>
      <w:r>
        <w:rPr>
          <w:rFonts w:hint="eastAsia" w:ascii="宋体" w:hAnsi="宋体" w:cs="宋体"/>
          <w:bCs/>
          <w:color w:val="auto"/>
          <w:szCs w:val="21"/>
          <w:u w:val="single"/>
          <w:lang w:val="en-US" w:eastAsia="zh-CN"/>
        </w:rPr>
        <w:t xml:space="preserve">   </w:t>
      </w:r>
      <w:r>
        <w:rPr>
          <w:rFonts w:hint="eastAsia" w:ascii="宋体" w:hAnsi="宋体" w:cs="宋体"/>
          <w:bCs/>
          <w:color w:val="auto"/>
          <w:szCs w:val="21"/>
          <w:u w:val="single"/>
        </w:rPr>
        <w:t xml:space="preserve"> </w:t>
      </w:r>
      <w:r>
        <w:rPr>
          <w:rFonts w:hint="eastAsia" w:ascii="宋体" w:hAnsi="宋体" w:cs="宋体"/>
          <w:bCs/>
          <w:color w:val="auto"/>
          <w:szCs w:val="21"/>
        </w:rPr>
        <w:t>‰。</w:t>
      </w:r>
    </w:p>
    <w:p w14:paraId="308570BC">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十三、合同争议解决的方式</w:t>
      </w:r>
    </w:p>
    <w:p w14:paraId="114C9CE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本合同在履行过程中发生的争议，由甲、乙双方当事人协商解决，协商不成的按下列第（ 二 ）种方式解决：</w:t>
      </w:r>
    </w:p>
    <w:p w14:paraId="321A7154">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（一）提交</w:t>
      </w:r>
      <w:r>
        <w:rPr>
          <w:rFonts w:hint="eastAsia" w:ascii="宋体" w:hAnsi="宋体" w:cs="宋体"/>
          <w:bCs/>
          <w:color w:val="auto"/>
          <w:szCs w:val="21"/>
          <w:u w:val="single"/>
        </w:rPr>
        <w:t xml:space="preserve">  </w:t>
      </w:r>
      <w:r>
        <w:rPr>
          <w:rFonts w:hint="eastAsia" w:ascii="宋体" w:hAnsi="宋体" w:cs="宋体"/>
          <w:bCs/>
          <w:color w:val="auto"/>
          <w:szCs w:val="21"/>
          <w:u w:val="single"/>
          <w:lang w:val="en-US" w:eastAsia="zh-CN"/>
        </w:rPr>
        <w:t>当地</w:t>
      </w:r>
      <w:r>
        <w:rPr>
          <w:rFonts w:hint="eastAsia" w:ascii="宋体" w:hAnsi="宋体" w:cs="宋体"/>
          <w:bCs/>
          <w:color w:val="auto"/>
          <w:szCs w:val="21"/>
          <w:u w:val="single"/>
        </w:rPr>
        <w:t xml:space="preserve">   </w:t>
      </w:r>
      <w:r>
        <w:rPr>
          <w:rFonts w:hint="eastAsia" w:ascii="宋体" w:hAnsi="宋体" w:cs="宋体"/>
          <w:bCs/>
          <w:color w:val="auto"/>
          <w:szCs w:val="21"/>
        </w:rPr>
        <w:t>仲裁委员会仲裁；</w:t>
      </w:r>
    </w:p>
    <w:p w14:paraId="08931CDD">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（二）依法向</w:t>
      </w:r>
      <w:r>
        <w:rPr>
          <w:rFonts w:hint="eastAsia" w:ascii="宋体" w:hAnsi="宋体" w:cs="宋体"/>
          <w:bCs/>
          <w:color w:val="auto"/>
          <w:szCs w:val="21"/>
          <w:u w:val="single"/>
        </w:rPr>
        <w:t xml:space="preserve">  甲方  </w:t>
      </w:r>
      <w:r>
        <w:rPr>
          <w:rFonts w:hint="eastAsia" w:ascii="宋体" w:hAnsi="宋体" w:cs="宋体"/>
          <w:bCs/>
          <w:color w:val="auto"/>
          <w:szCs w:val="21"/>
        </w:rPr>
        <w:t>所在地人民法院起诉。</w:t>
      </w:r>
    </w:p>
    <w:p w14:paraId="3FAAE531">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十四、合同生效</w:t>
      </w:r>
    </w:p>
    <w:p w14:paraId="3FD2028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本合同一式</w:t>
      </w:r>
      <w:r>
        <w:rPr>
          <w:rFonts w:hint="eastAsia" w:ascii="宋体" w:hAnsi="宋体" w:cs="宋体"/>
          <w:bCs/>
          <w:color w:val="auto"/>
          <w:szCs w:val="21"/>
          <w:u w:val="single"/>
        </w:rPr>
        <w:t xml:space="preserve">   </w:t>
      </w:r>
      <w:r>
        <w:rPr>
          <w:rFonts w:hint="eastAsia" w:ascii="宋体" w:hAnsi="宋体" w:cs="宋体"/>
          <w:bCs/>
          <w:color w:val="auto"/>
          <w:szCs w:val="21"/>
        </w:rPr>
        <w:t>份，甲方执</w:t>
      </w:r>
      <w:r>
        <w:rPr>
          <w:rFonts w:hint="eastAsia" w:ascii="宋体" w:hAnsi="宋体" w:cs="宋体"/>
          <w:bCs/>
          <w:color w:val="auto"/>
          <w:szCs w:val="21"/>
          <w:u w:val="single"/>
        </w:rPr>
        <w:t xml:space="preserve">   </w:t>
      </w:r>
      <w:r>
        <w:rPr>
          <w:rFonts w:hint="eastAsia" w:ascii="宋体" w:hAnsi="宋体" w:cs="宋体"/>
          <w:bCs/>
          <w:color w:val="auto"/>
          <w:szCs w:val="21"/>
        </w:rPr>
        <w:t>份，乙方执</w:t>
      </w:r>
      <w:r>
        <w:rPr>
          <w:rFonts w:hint="eastAsia" w:ascii="宋体" w:hAnsi="宋体" w:cs="宋体"/>
          <w:bCs/>
          <w:color w:val="auto"/>
          <w:szCs w:val="21"/>
          <w:u w:val="single"/>
        </w:rPr>
        <w:t xml:space="preserve">   </w:t>
      </w:r>
      <w:r>
        <w:rPr>
          <w:rFonts w:hint="eastAsia" w:ascii="宋体" w:hAnsi="宋体" w:cs="宋体"/>
          <w:bCs/>
          <w:color w:val="auto"/>
          <w:szCs w:val="21"/>
        </w:rPr>
        <w:t>份、采购代理机构执</w:t>
      </w:r>
      <w:r>
        <w:rPr>
          <w:rFonts w:hint="eastAsia" w:ascii="宋体" w:hAnsi="宋体" w:cs="宋体"/>
          <w:bCs/>
          <w:color w:val="auto"/>
          <w:szCs w:val="21"/>
          <w:u w:val="single"/>
        </w:rPr>
        <w:t>壹</w:t>
      </w:r>
      <w:r>
        <w:rPr>
          <w:rFonts w:hint="eastAsia" w:ascii="宋体" w:hAnsi="宋体" w:cs="宋体"/>
          <w:bCs/>
          <w:color w:val="auto"/>
          <w:szCs w:val="21"/>
        </w:rPr>
        <w:t>份，本合同甲、乙方签字盖章后生效，合同执行完毕后，自动失效（合同的服务承诺则长期有效）。</w:t>
      </w:r>
    </w:p>
    <w:p w14:paraId="6C3A8AA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（一）相关管理部门在合同的履行期间以及履行期后，可以随时检查项目的执行情况，对采购内容、标准进行调查核实，并对发现的问题进行处理。</w:t>
      </w:r>
    </w:p>
    <w:p w14:paraId="6C1A2BD8">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（二）招标文件、投标文件、澄清表（函）、中标通知书、合同附件均成为合同不可分割的部分。</w:t>
      </w:r>
    </w:p>
    <w:p w14:paraId="385E3F54">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（三）合同未尽事宜，由甲、乙双方协商并确认后，作为合同补充，与原合同具有同等法律效力。</w:t>
      </w:r>
    </w:p>
    <w:p w14:paraId="63A44C16">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（四）合同一经签订，不得擅自变更、中止或终止合同。对确需变更、调整或中止、终止合同的，应按规定履行相应的手续。</w:t>
      </w:r>
    </w:p>
    <w:p w14:paraId="1F15D17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（五）本合同按照中华人民共和国的现行法律进行解释。</w:t>
      </w:r>
    </w:p>
    <w:p w14:paraId="655EF644">
      <w:pPr>
        <w:tabs>
          <w:tab w:val="left" w:pos="480"/>
        </w:tabs>
        <w:spacing w:line="360" w:lineRule="auto"/>
        <w:rPr>
          <w:rFonts w:ascii="宋体" w:hAnsi="宋体" w:cs="宋体"/>
          <w:bCs/>
          <w:color w:val="auto"/>
          <w:szCs w:val="21"/>
        </w:rPr>
      </w:pPr>
      <w:r>
        <w:rPr>
          <w:rFonts w:hint="eastAsia" w:ascii="宋体" w:hAnsi="宋体" w:cs="宋体"/>
          <w:bCs/>
          <w:color w:val="auto"/>
          <w:szCs w:val="21"/>
        </w:rPr>
        <w:t>（以下无正文）</w:t>
      </w:r>
    </w:p>
    <w:p w14:paraId="446E6C66">
      <w:pPr>
        <w:tabs>
          <w:tab w:val="left" w:pos="480"/>
        </w:tabs>
        <w:spacing w:line="360" w:lineRule="auto"/>
        <w:rPr>
          <w:rFonts w:ascii="宋体" w:hAnsi="宋体" w:cs="宋体"/>
          <w:bCs/>
          <w:color w:val="auto"/>
          <w:szCs w:val="21"/>
        </w:rPr>
      </w:pPr>
      <w:r>
        <w:rPr>
          <w:rFonts w:hint="eastAsia" w:ascii="宋体" w:hAnsi="宋体" w:cs="宋体"/>
          <w:bCs/>
          <w:color w:val="auto"/>
          <w:szCs w:val="21"/>
        </w:rPr>
        <w:t>甲  方（盖章）                             乙  方（盖章）</w:t>
      </w:r>
    </w:p>
    <w:p w14:paraId="627EEE5C">
      <w:pPr>
        <w:tabs>
          <w:tab w:val="left" w:pos="480"/>
        </w:tabs>
        <w:spacing w:line="360" w:lineRule="auto"/>
        <w:rPr>
          <w:rFonts w:ascii="宋体" w:hAnsi="宋体" w:cs="宋体"/>
          <w:bCs/>
          <w:color w:val="auto"/>
          <w:szCs w:val="21"/>
        </w:rPr>
      </w:pPr>
      <w:r>
        <w:rPr>
          <w:rFonts w:hint="eastAsia" w:ascii="宋体" w:hAnsi="宋体" w:cs="宋体"/>
          <w:bCs/>
          <w:color w:val="auto"/>
          <w:szCs w:val="21"/>
        </w:rPr>
        <w:t>单位名称：                                 单位名称：</w:t>
      </w:r>
    </w:p>
    <w:p w14:paraId="7A8B0CDD">
      <w:pPr>
        <w:tabs>
          <w:tab w:val="left" w:pos="480"/>
        </w:tabs>
        <w:spacing w:line="360" w:lineRule="auto"/>
        <w:rPr>
          <w:rFonts w:ascii="宋体" w:hAnsi="宋体" w:cs="宋体"/>
          <w:bCs/>
          <w:color w:val="auto"/>
          <w:szCs w:val="21"/>
        </w:rPr>
      </w:pPr>
      <w:r>
        <w:rPr>
          <w:rFonts w:hint="eastAsia" w:ascii="宋体" w:hAnsi="宋体" w:cs="宋体"/>
          <w:bCs/>
          <w:color w:val="auto"/>
          <w:szCs w:val="21"/>
        </w:rPr>
        <w:t>地  址：                                   地  址：</w:t>
      </w:r>
    </w:p>
    <w:p w14:paraId="0A7F9BE1">
      <w:pPr>
        <w:tabs>
          <w:tab w:val="left" w:pos="480"/>
        </w:tabs>
        <w:spacing w:line="360" w:lineRule="auto"/>
        <w:rPr>
          <w:rFonts w:ascii="宋体" w:hAnsi="宋体" w:cs="宋体"/>
          <w:bCs/>
          <w:color w:val="auto"/>
          <w:szCs w:val="21"/>
        </w:rPr>
      </w:pPr>
      <w:r>
        <w:rPr>
          <w:rFonts w:hint="eastAsia" w:ascii="宋体" w:hAnsi="宋体" w:cs="宋体"/>
          <w:bCs/>
          <w:color w:val="auto"/>
          <w:szCs w:val="21"/>
        </w:rPr>
        <w:t>法定代表人或授权委托人（签字或盖章）：     法定代表人或授权委托人（签字或盖章）：</w:t>
      </w:r>
    </w:p>
    <w:p w14:paraId="1E4F5204">
      <w:pPr>
        <w:tabs>
          <w:tab w:val="left" w:pos="480"/>
        </w:tabs>
        <w:spacing w:line="360" w:lineRule="auto"/>
        <w:rPr>
          <w:rFonts w:hint="eastAsia" w:ascii="宋体" w:hAnsi="宋体" w:cs="宋体"/>
          <w:bCs/>
          <w:color w:val="auto"/>
          <w:szCs w:val="21"/>
        </w:rPr>
      </w:pPr>
    </w:p>
    <w:p w14:paraId="734F122E">
      <w:pPr>
        <w:tabs>
          <w:tab w:val="left" w:pos="480"/>
        </w:tabs>
        <w:spacing w:line="360" w:lineRule="auto"/>
        <w:ind w:firstLine="420" w:firstLineChars="200"/>
        <w:rPr>
          <w:rFonts w:hint="eastAsia" w:ascii="宋体" w:hAnsi="宋体" w:cs="宋体"/>
          <w:bCs/>
          <w:color w:val="auto"/>
          <w:szCs w:val="21"/>
        </w:rPr>
      </w:pPr>
    </w:p>
    <w:p w14:paraId="209D3C87">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开户银行：</w:t>
      </w:r>
    </w:p>
    <w:p w14:paraId="257AABDE">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账  号：       </w:t>
      </w:r>
    </w:p>
    <w:p w14:paraId="2EF21A8F">
      <w:pPr>
        <w:tabs>
          <w:tab w:val="left" w:pos="480"/>
        </w:tabs>
        <w:spacing w:line="360" w:lineRule="auto"/>
        <w:rPr>
          <w:rFonts w:ascii="宋体" w:hAnsi="宋体" w:cs="宋体"/>
          <w:bCs/>
          <w:color w:val="auto"/>
          <w:szCs w:val="21"/>
        </w:rPr>
      </w:pPr>
      <w:r>
        <w:rPr>
          <w:rFonts w:hint="eastAsia" w:ascii="宋体" w:hAnsi="宋体" w:cs="宋体"/>
          <w:bCs/>
          <w:color w:val="auto"/>
          <w:szCs w:val="21"/>
        </w:rPr>
        <w:t>联系电话：                                 联系电话：</w:t>
      </w:r>
    </w:p>
    <w:p w14:paraId="7FB026A9">
      <w:pPr>
        <w:rPr>
          <w:color w:val="auto"/>
        </w:rPr>
      </w:pPr>
      <w:r>
        <w:rPr>
          <w:rFonts w:hint="eastAsia" w:ascii="宋体" w:hAnsi="宋体" w:cs="宋体"/>
          <w:bCs/>
          <w:color w:val="auto"/>
          <w:szCs w:val="21"/>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20C1569E"/>
    <w:rsid w:val="00054688"/>
    <w:rsid w:val="00DA422A"/>
    <w:rsid w:val="04373DC3"/>
    <w:rsid w:val="0A273DE5"/>
    <w:rsid w:val="0CAA3075"/>
    <w:rsid w:val="0D923934"/>
    <w:rsid w:val="0E5306B0"/>
    <w:rsid w:val="111E1B8C"/>
    <w:rsid w:val="112631E6"/>
    <w:rsid w:val="16FD6608"/>
    <w:rsid w:val="1721363E"/>
    <w:rsid w:val="1CC3102C"/>
    <w:rsid w:val="20125A00"/>
    <w:rsid w:val="20AA28CD"/>
    <w:rsid w:val="20C1569E"/>
    <w:rsid w:val="25261528"/>
    <w:rsid w:val="29A96B14"/>
    <w:rsid w:val="32812D01"/>
    <w:rsid w:val="3B7A00A0"/>
    <w:rsid w:val="3B96033E"/>
    <w:rsid w:val="3D061EFE"/>
    <w:rsid w:val="3E352AAE"/>
    <w:rsid w:val="42FD2B88"/>
    <w:rsid w:val="477A45F5"/>
    <w:rsid w:val="54136230"/>
    <w:rsid w:val="5CA510D6"/>
    <w:rsid w:val="60177EB2"/>
    <w:rsid w:val="6532453E"/>
    <w:rsid w:val="70B64CD9"/>
    <w:rsid w:val="763D66DC"/>
    <w:rsid w:val="77465A96"/>
    <w:rsid w:val="7D2C6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sz w:val="24"/>
    </w:rPr>
  </w:style>
  <w:style w:type="paragraph" w:styleId="3">
    <w:name w:val="annotation text"/>
    <w:basedOn w:val="1"/>
    <w:qFormat/>
    <w:uiPriority w:val="0"/>
    <w:pPr>
      <w:jc w:val="left"/>
    </w:p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5">
    <w:name w:val="Normal (Web)"/>
    <w:basedOn w:val="1"/>
    <w:qFormat/>
    <w:uiPriority w:val="0"/>
    <w:pPr>
      <w:spacing w:before="100" w:beforeAutospacing="1" w:after="100" w:afterAutospacing="1"/>
      <w:jc w:val="left"/>
    </w:pPr>
    <w:rPr>
      <w:kern w:val="0"/>
      <w:sz w:val="24"/>
    </w:rPr>
  </w:style>
  <w:style w:type="paragraph" w:customStyle="1" w:styleId="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内容"/>
    <w:basedOn w:val="1"/>
    <w:qFormat/>
    <w:uiPriority w:val="0"/>
    <w:pPr>
      <w:spacing w:beforeLines="50" w:afterLines="50" w:line="360" w:lineRule="auto"/>
      <w:ind w:firstLine="480" w:firstLineChars="200"/>
    </w:pPr>
    <w:rPr>
      <w:rFonts w:cs="宋体"/>
      <w:sz w:val="24"/>
    </w:rPr>
  </w:style>
  <w:style w:type="paragraph" w:customStyle="1" w:styleId="10">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3326</Words>
  <Characters>3340</Characters>
  <Lines>28</Lines>
  <Paragraphs>8</Paragraphs>
  <TotalTime>5</TotalTime>
  <ScaleCrop>false</ScaleCrop>
  <LinksUpToDate>false</LinksUpToDate>
  <CharactersWithSpaces>3825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2023-10-24T04:21:00Z</dcterms:created>
  <dc:creator>東</dc:creator>
  <cp:lastModifiedBy>NTKO</cp:lastModifiedBy>
  <dcterms:modified xsi:type="dcterms:W3CDTF">2025-06-06T05:43:14Z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E56D021A71F24239804D1AB0C75AA5BC_11</vt:lpwstr>
  </property>
  <property fmtid="{D5CDD505-2E9C-101B-9397-08002B2CF9AE}" pid="4" name="KSOTemplateDocerSaveRecord">
    <vt:lpwstr>eyJoZGlkIjoiZTAyYjVmMmNkMjA5MTIzZmE0NTc5NzY5NGQ5ZjQwYzQiLCJ1c2VySWQiOiIyMTc3NTk4NDEifQ==</vt:lpwstr>
  </property>
</Properties>
</file>