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4CB9FBF">
      <w:pPr>
        <w:spacing w:line="360" w:lineRule="auto"/>
        <w:ind w:left="1080" w:leftChars="257" w:hanging="540"/>
        <w:jc w:val="center"/>
        <w:outlineLvl w:val="0"/>
        <w:rPr>
          <w:rFonts w:eastAsia="仿宋_GB2312"/>
          <w:b/>
          <w:kern w:val="44"/>
          <w:sz w:val="32"/>
          <w:szCs w:val="20"/>
        </w:rPr>
      </w:pPr>
      <w:r>
        <w:rPr>
          <w:rStyle w:val="6"/>
          <w:rFonts w:hint="eastAsia" w:ascii="仿宋" w:hAnsi="仿宋" w:eastAsia="仿宋" w:cs="仿宋"/>
          <w:szCs w:val="32"/>
        </w:rPr>
        <w:t>拟签订的合同</w:t>
      </w:r>
      <w:bookmarkStart w:id="0" w:name="_Hlt487972895"/>
      <w:bookmarkEnd w:id="0"/>
      <w:bookmarkStart w:id="1" w:name="_Toc216513788"/>
      <w:bookmarkStart w:id="2" w:name="_Toc487900382"/>
      <w:r>
        <w:rPr>
          <w:rStyle w:val="6"/>
          <w:rFonts w:hint="eastAsia" w:ascii="仿宋" w:hAnsi="仿宋" w:eastAsia="仿宋" w:cs="仿宋"/>
          <w:szCs w:val="32"/>
        </w:rPr>
        <w:t>文本</w:t>
      </w:r>
      <w:bookmarkEnd w:id="1"/>
      <w:bookmarkEnd w:id="2"/>
    </w:p>
    <w:p w14:paraId="1986C261">
      <w:pPr>
        <w:keepNext w:val="0"/>
        <w:keepLines w:val="0"/>
        <w:pageBreakBefore w:val="0"/>
        <w:widowControl w:val="0"/>
        <w:tabs>
          <w:tab w:val="left" w:pos="735"/>
        </w:tabs>
        <w:kinsoku/>
        <w:wordWrap/>
        <w:overflowPunct/>
        <w:topLinePunct w:val="0"/>
        <w:autoSpaceDE w:val="0"/>
        <w:autoSpaceDN w:val="0"/>
        <w:bidi w:val="0"/>
        <w:adjustRightInd w:val="0"/>
        <w:snapToGrid w:val="0"/>
        <w:spacing w:before="312" w:beforeLines="100" w:line="360" w:lineRule="auto"/>
        <w:ind w:firstLine="482" w:firstLineChars="200"/>
        <w:textAlignment w:val="auto"/>
        <w:rPr>
          <w:rFonts w:hint="eastAsia" w:ascii="仿宋" w:hAnsi="仿宋" w:eastAsia="仿宋" w:cs="仿宋"/>
          <w:b/>
          <w:bCs/>
          <w:sz w:val="24"/>
          <w:lang w:val="zh-CN"/>
        </w:rPr>
      </w:pPr>
      <w:r>
        <w:rPr>
          <w:rFonts w:hint="eastAsia" w:ascii="仿宋" w:hAnsi="仿宋" w:eastAsia="仿宋" w:cs="仿宋"/>
          <w:b/>
          <w:bCs/>
          <w:sz w:val="24"/>
          <w:lang w:val="zh-CN"/>
        </w:rPr>
        <w:t>甲方：</w:t>
      </w:r>
      <w:r>
        <w:rPr>
          <w:rFonts w:hint="eastAsia" w:ascii="仿宋" w:hAnsi="仿宋" w:eastAsia="仿宋" w:cs="仿宋"/>
          <w:bCs/>
          <w:sz w:val="24"/>
          <w:lang w:val="zh-CN"/>
        </w:rPr>
        <w:t>（前款所称采购人）     住所：</w:t>
      </w:r>
    </w:p>
    <w:p w14:paraId="6CBF57E5">
      <w:pPr>
        <w:keepNext w:val="0"/>
        <w:keepLines w:val="0"/>
        <w:pageBreakBefore w:val="0"/>
        <w:widowControl w:val="0"/>
        <w:tabs>
          <w:tab w:val="left" w:pos="735"/>
        </w:tabs>
        <w:kinsoku/>
        <w:wordWrap/>
        <w:overflowPunct/>
        <w:topLinePunct w:val="0"/>
        <w:autoSpaceDE w:val="0"/>
        <w:autoSpaceDN w:val="0"/>
        <w:bidi w:val="0"/>
        <w:adjustRightInd w:val="0"/>
        <w:snapToGrid w:val="0"/>
        <w:spacing w:line="360" w:lineRule="auto"/>
        <w:ind w:firstLine="482" w:firstLineChars="200"/>
        <w:textAlignment w:val="auto"/>
        <w:rPr>
          <w:rFonts w:eastAsia="仿宋_GB2312"/>
          <w:bCs/>
          <w:sz w:val="24"/>
          <w:lang w:val="zh-CN"/>
        </w:rPr>
      </w:pPr>
      <w:r>
        <w:rPr>
          <w:rFonts w:hint="eastAsia" w:ascii="仿宋" w:hAnsi="仿宋" w:eastAsia="仿宋" w:cs="仿宋"/>
          <w:b/>
          <w:bCs/>
          <w:sz w:val="24"/>
          <w:lang w:val="zh-CN"/>
        </w:rPr>
        <w:t>乙方：</w:t>
      </w:r>
      <w:r>
        <w:rPr>
          <w:rFonts w:hint="eastAsia" w:ascii="仿宋" w:hAnsi="仿宋" w:eastAsia="仿宋" w:cs="仿宋"/>
          <w:bCs/>
          <w:sz w:val="24"/>
          <w:lang w:val="zh-CN"/>
        </w:rPr>
        <w:t>（前款所称中标人）     住所：</w:t>
      </w:r>
    </w:p>
    <w:p w14:paraId="4CA9299E">
      <w:pPr>
        <w:adjustRightInd w:val="0"/>
        <w:snapToGrid w:val="0"/>
        <w:spacing w:line="360" w:lineRule="auto"/>
        <w:ind w:firstLine="480" w:firstLineChars="200"/>
        <w:rPr>
          <w:rFonts w:hint="eastAsia" w:ascii="仿宋" w:hAnsi="仿宋" w:eastAsia="仿宋" w:cs="仿宋"/>
          <w:sz w:val="24"/>
        </w:rPr>
      </w:pPr>
      <w:bookmarkStart w:id="3" w:name="_Toc19515384"/>
      <w:r>
        <w:rPr>
          <w:rFonts w:hint="eastAsia" w:ascii="仿宋" w:hAnsi="仿宋" w:eastAsia="仿宋" w:cs="仿宋"/>
          <w:sz w:val="24"/>
        </w:rPr>
        <w:t>一、合同内容（标的、数量、质量等）:</w:t>
      </w:r>
      <w:bookmarkEnd w:id="3"/>
    </w:p>
    <w:p w14:paraId="4871DE34">
      <w:pPr>
        <w:adjustRightInd w:val="0"/>
        <w:snapToGrid w:val="0"/>
        <w:spacing w:line="360" w:lineRule="auto"/>
        <w:ind w:firstLine="480" w:firstLineChars="200"/>
        <w:rPr>
          <w:rFonts w:hint="eastAsia" w:ascii="仿宋" w:hAnsi="仿宋" w:eastAsia="仿宋" w:cs="仿宋"/>
          <w:sz w:val="24"/>
        </w:rPr>
      </w:pPr>
      <w:bookmarkStart w:id="4" w:name="_Toc19515385"/>
      <w:r>
        <w:rPr>
          <w:rFonts w:hint="eastAsia" w:ascii="仿宋" w:hAnsi="仿宋" w:eastAsia="仿宋" w:cs="仿宋"/>
          <w:sz w:val="24"/>
        </w:rPr>
        <w:t>二、合同价款</w:t>
      </w:r>
      <w:bookmarkEnd w:id="4"/>
    </w:p>
    <w:p w14:paraId="421CAAAD">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1、合同总价：</w:t>
      </w:r>
    </w:p>
    <w:p w14:paraId="53ADB6C2">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2、合同总价包括：</w:t>
      </w:r>
    </w:p>
    <w:p w14:paraId="084B5A16">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3、合同总价一次包死，不受市场价变化的影响。</w:t>
      </w:r>
    </w:p>
    <w:p w14:paraId="215EC939">
      <w:pPr>
        <w:adjustRightInd w:val="0"/>
        <w:snapToGrid w:val="0"/>
        <w:spacing w:line="360" w:lineRule="auto"/>
        <w:ind w:firstLine="480" w:firstLineChars="200"/>
        <w:rPr>
          <w:rFonts w:hint="eastAsia" w:ascii="仿宋" w:hAnsi="仿宋" w:eastAsia="仿宋" w:cs="仿宋"/>
          <w:sz w:val="24"/>
        </w:rPr>
      </w:pPr>
      <w:bookmarkStart w:id="5" w:name="_Toc19515386"/>
      <w:r>
        <w:rPr>
          <w:rFonts w:hint="eastAsia" w:ascii="仿宋" w:hAnsi="仿宋" w:eastAsia="仿宋" w:cs="仿宋"/>
          <w:sz w:val="24"/>
        </w:rPr>
        <w:t>三、合同结算</w:t>
      </w:r>
      <w:bookmarkEnd w:id="5"/>
    </w:p>
    <w:p w14:paraId="148A7E8C">
      <w:pPr>
        <w:adjustRightInd w:val="0"/>
        <w:snapToGrid w:val="0"/>
        <w:spacing w:line="360" w:lineRule="auto"/>
        <w:ind w:firstLine="480" w:firstLineChars="200"/>
        <w:rPr>
          <w:rFonts w:hint="eastAsia" w:ascii="仿宋" w:hAnsi="仿宋" w:eastAsia="仿宋" w:cs="仿宋"/>
          <w:b w:val="0"/>
          <w:bCs/>
          <w:sz w:val="24"/>
        </w:rPr>
      </w:pPr>
      <w:bookmarkStart w:id="6" w:name="_Toc19515387"/>
      <w:r>
        <w:rPr>
          <w:rFonts w:hint="eastAsia" w:ascii="仿宋" w:hAnsi="仿宋" w:eastAsia="仿宋" w:cs="仿宋"/>
          <w:b w:val="0"/>
          <w:bCs/>
          <w:sz w:val="24"/>
        </w:rPr>
        <w:t>1、付款比例：</w:t>
      </w:r>
    </w:p>
    <w:p w14:paraId="29A99D2D">
      <w:pPr>
        <w:pStyle w:val="7"/>
        <w:widowControl w:val="0"/>
        <w:numPr>
          <w:ilvl w:val="0"/>
          <w:numId w:val="0"/>
        </w:numPr>
        <w:tabs>
          <w:tab w:val="left" w:pos="993"/>
        </w:tabs>
        <w:spacing w:line="360" w:lineRule="auto"/>
        <w:ind w:left="424" w:leftChars="202" w:firstLine="280" w:firstLineChars="117"/>
        <w:jc w:val="both"/>
        <w:rPr>
          <w:rFonts w:hint="eastAsia" w:ascii="仿宋" w:hAnsi="仿宋" w:eastAsia="仿宋" w:cs="仿宋"/>
          <w:kern w:val="2"/>
        </w:rPr>
      </w:pPr>
      <w:r>
        <w:rPr>
          <w:rFonts w:hint="eastAsia" w:ascii="仿宋" w:hAnsi="仿宋" w:eastAsia="仿宋" w:cs="仿宋"/>
          <w:kern w:val="2"/>
        </w:rPr>
        <w:t>合同签订后采购人支付合同总金额的40%，</w:t>
      </w:r>
      <w:r>
        <w:rPr>
          <w:rFonts w:hint="eastAsia" w:ascii="仿宋" w:hAnsi="仿宋" w:eastAsia="仿宋" w:cs="仿宋"/>
          <w:kern w:val="2"/>
          <w:lang w:val="zh-CN"/>
        </w:rPr>
        <w:t>货到现场、安装调试、</w:t>
      </w:r>
      <w:r>
        <w:rPr>
          <w:rFonts w:hint="eastAsia" w:ascii="仿宋" w:hAnsi="仿宋" w:eastAsia="仿宋" w:cs="仿宋"/>
          <w:kern w:val="2"/>
          <w:lang w:val="en-US" w:eastAsia="zh-CN"/>
        </w:rPr>
        <w:t>系统上线运行及</w:t>
      </w:r>
      <w:r>
        <w:rPr>
          <w:rFonts w:hint="eastAsia" w:ascii="仿宋" w:hAnsi="仿宋" w:eastAsia="仿宋" w:cs="仿宋"/>
          <w:kern w:val="2"/>
          <w:lang w:val="zh-CN"/>
        </w:rPr>
        <w:t>培训</w:t>
      </w:r>
      <w:r>
        <w:rPr>
          <w:rFonts w:hint="eastAsia" w:ascii="仿宋" w:hAnsi="仿宋" w:eastAsia="仿宋" w:cs="仿宋"/>
          <w:kern w:val="2"/>
          <w:lang w:val="en-US" w:eastAsia="zh-CN"/>
        </w:rPr>
        <w:t>服务</w:t>
      </w:r>
      <w:r>
        <w:rPr>
          <w:rFonts w:hint="eastAsia" w:ascii="仿宋" w:hAnsi="仿宋" w:eastAsia="仿宋" w:cs="仿宋"/>
          <w:kern w:val="2"/>
          <w:lang w:val="zh-CN"/>
        </w:rPr>
        <w:t>完毕</w:t>
      </w:r>
      <w:r>
        <w:rPr>
          <w:rFonts w:hint="eastAsia" w:ascii="仿宋" w:hAnsi="仿宋" w:eastAsia="仿宋" w:cs="仿宋"/>
          <w:kern w:val="2"/>
          <w:lang w:val="en-US" w:eastAsia="zh-CN"/>
        </w:rPr>
        <w:t>后</w:t>
      </w:r>
      <w:r>
        <w:rPr>
          <w:rFonts w:hint="eastAsia" w:ascii="仿宋" w:hAnsi="仿宋" w:eastAsia="仿宋" w:cs="仿宋"/>
          <w:kern w:val="2"/>
          <w:lang w:val="zh-CN"/>
        </w:rPr>
        <w:t>经</w:t>
      </w:r>
      <w:r>
        <w:rPr>
          <w:rFonts w:hint="eastAsia" w:ascii="仿宋" w:hAnsi="仿宋" w:eastAsia="仿宋" w:cs="仿宋"/>
          <w:kern w:val="2"/>
          <w:lang w:val="en-US" w:eastAsia="zh-CN"/>
        </w:rPr>
        <w:t>采购人</w:t>
      </w:r>
      <w:r>
        <w:rPr>
          <w:rFonts w:hint="eastAsia" w:ascii="仿宋" w:hAnsi="仿宋" w:eastAsia="仿宋" w:cs="仿宋"/>
          <w:kern w:val="2"/>
          <w:lang w:val="zh-CN"/>
        </w:rPr>
        <w:t>验收合格并使用</w:t>
      </w:r>
      <w:r>
        <w:rPr>
          <w:rFonts w:hint="eastAsia" w:ascii="仿宋" w:hAnsi="仿宋" w:eastAsia="仿宋" w:cs="仿宋"/>
          <w:kern w:val="2"/>
        </w:rPr>
        <w:t>，供应商接采购人通知三天内按照采购人要求将合同总金额的5%作为履约保证金缴纳至采购人指定专用账户(账户名:陕西省勉县医院，银行账户:2606052009026408453</w:t>
      </w:r>
      <w:r>
        <w:rPr>
          <w:rFonts w:hint="eastAsia" w:ascii="仿宋" w:hAnsi="仿宋" w:eastAsia="仿宋" w:cs="仿宋"/>
          <w:kern w:val="2"/>
          <w:lang w:eastAsia="zh-CN"/>
        </w:rPr>
        <w:t>，</w:t>
      </w:r>
      <w:r>
        <w:rPr>
          <w:rFonts w:hint="eastAsia" w:ascii="仿宋" w:hAnsi="仿宋" w:eastAsia="仿宋" w:cs="仿宋"/>
          <w:kern w:val="2"/>
        </w:rPr>
        <w:t>开户行:工行勉县支行营业部)。自收到履约保证金7日内采购人将支付合同剩余60%金额，履约期满后，经采购人确认设备无质量问题，一次性退还供应商履约保证金。</w:t>
      </w:r>
    </w:p>
    <w:p w14:paraId="69A9CD6A">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2、结算方式：银行转账。</w:t>
      </w:r>
    </w:p>
    <w:p w14:paraId="0E196FEC">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3、结算单位：由</w:t>
      </w:r>
      <w:r>
        <w:rPr>
          <w:rFonts w:hint="eastAsia" w:ascii="仿宋" w:hAnsi="仿宋" w:eastAsia="仿宋" w:cs="仿宋"/>
          <w:sz w:val="24"/>
          <w:u w:val="single"/>
        </w:rPr>
        <w:t xml:space="preserve">         </w:t>
      </w:r>
      <w:r>
        <w:rPr>
          <w:rFonts w:hint="eastAsia" w:ascii="仿宋" w:hAnsi="仿宋" w:eastAsia="仿宋" w:cs="仿宋"/>
          <w:sz w:val="24"/>
        </w:rPr>
        <w:t>负责结算，乙方开具合同总价数的全额发票交采购人。</w:t>
      </w:r>
    </w:p>
    <w:p w14:paraId="7258A789">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四、履行期限、地点及方式:</w:t>
      </w:r>
      <w:bookmarkEnd w:id="6"/>
    </w:p>
    <w:p w14:paraId="61B4F60F">
      <w:pPr>
        <w:adjustRightInd w:val="0"/>
        <w:snapToGrid w:val="0"/>
        <w:spacing w:line="360" w:lineRule="auto"/>
        <w:ind w:firstLine="480" w:firstLineChars="200"/>
        <w:rPr>
          <w:rFonts w:hint="eastAsia" w:ascii="仿宋" w:hAnsi="仿宋" w:eastAsia="仿宋" w:cs="仿宋"/>
          <w:b w:val="0"/>
          <w:bCs/>
          <w:sz w:val="24"/>
        </w:rPr>
      </w:pPr>
      <w:r>
        <w:rPr>
          <w:rFonts w:hint="eastAsia" w:ascii="仿宋" w:hAnsi="仿宋" w:eastAsia="仿宋" w:cs="仿宋"/>
          <w:b w:val="0"/>
          <w:bCs/>
          <w:sz w:val="24"/>
        </w:rPr>
        <w:t>1、建设周期：合同签订后</w:t>
      </w:r>
      <w:r>
        <w:rPr>
          <w:rFonts w:hint="eastAsia" w:ascii="仿宋" w:hAnsi="仿宋" w:eastAsia="仿宋" w:cs="仿宋"/>
          <w:b w:val="0"/>
          <w:bCs/>
          <w:sz w:val="24"/>
          <w:lang w:val="en-US" w:eastAsia="zh-CN"/>
        </w:rPr>
        <w:t>3</w:t>
      </w:r>
      <w:r>
        <w:rPr>
          <w:rFonts w:hint="eastAsia" w:ascii="仿宋" w:hAnsi="仿宋" w:eastAsia="仿宋" w:cs="仿宋"/>
          <w:b w:val="0"/>
          <w:bCs/>
          <w:sz w:val="24"/>
        </w:rPr>
        <w:t>个自然月上线</w:t>
      </w:r>
      <w:r>
        <w:rPr>
          <w:rFonts w:hint="eastAsia" w:ascii="仿宋" w:hAnsi="仿宋" w:eastAsia="仿宋" w:cs="仿宋"/>
          <w:b w:val="0"/>
          <w:bCs/>
          <w:sz w:val="24"/>
          <w:lang w:eastAsia="zh-CN"/>
        </w:rPr>
        <w:t>运行</w:t>
      </w:r>
      <w:r>
        <w:rPr>
          <w:rFonts w:hint="eastAsia" w:ascii="仿宋" w:hAnsi="仿宋" w:eastAsia="仿宋" w:cs="仿宋"/>
          <w:b w:val="0"/>
          <w:bCs/>
          <w:sz w:val="24"/>
        </w:rPr>
        <w:t>。</w:t>
      </w:r>
    </w:p>
    <w:p w14:paraId="716BA0D8">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2、地点：</w:t>
      </w:r>
      <w:r>
        <w:rPr>
          <w:rFonts w:hint="eastAsia" w:ascii="仿宋" w:hAnsi="仿宋" w:eastAsia="仿宋" w:cs="仿宋"/>
          <w:sz w:val="24"/>
          <w:lang w:eastAsia="zh-CN"/>
        </w:rPr>
        <w:t>陕西省勉县医院</w:t>
      </w:r>
      <w:r>
        <w:rPr>
          <w:rFonts w:hint="eastAsia" w:ascii="仿宋" w:hAnsi="仿宋" w:eastAsia="仿宋" w:cs="仿宋"/>
          <w:sz w:val="24"/>
        </w:rPr>
        <w:t>指定地点</w:t>
      </w:r>
    </w:p>
    <w:p w14:paraId="274BE9A1">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3、方式：符合招标文件及投标文件要求</w:t>
      </w:r>
    </w:p>
    <w:p w14:paraId="7E268CB0">
      <w:pPr>
        <w:adjustRightInd w:val="0"/>
        <w:snapToGrid w:val="0"/>
        <w:spacing w:line="360" w:lineRule="auto"/>
        <w:ind w:firstLine="480" w:firstLineChars="200"/>
        <w:rPr>
          <w:rFonts w:hint="eastAsia" w:ascii="仿宋" w:hAnsi="仿宋" w:eastAsia="仿宋" w:cs="仿宋"/>
          <w:sz w:val="24"/>
        </w:rPr>
      </w:pPr>
      <w:bookmarkStart w:id="7" w:name="_Toc19515388"/>
      <w:r>
        <w:rPr>
          <w:rFonts w:hint="eastAsia" w:ascii="仿宋" w:hAnsi="仿宋" w:eastAsia="仿宋" w:cs="仿宋"/>
          <w:sz w:val="24"/>
        </w:rPr>
        <w:t>五、运输</w:t>
      </w:r>
      <w:bookmarkEnd w:id="7"/>
    </w:p>
    <w:p w14:paraId="0447ADC8">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1、乙方负责所有货物的运输。确保货物安全、完整到达使用地点，运杂费用包含在总价内，包括货物从供货地点到使用地点的运输费、保险费、搬运费等。</w:t>
      </w:r>
    </w:p>
    <w:p w14:paraId="67E11110">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2、所有货物在运输、搬运、安装的过程中，造成甲方损失的，由乙方为甲方修复或更新。</w:t>
      </w:r>
    </w:p>
    <w:p w14:paraId="1FDAB7E9">
      <w:pPr>
        <w:adjustRightInd w:val="0"/>
        <w:snapToGrid w:val="0"/>
        <w:spacing w:line="360" w:lineRule="auto"/>
        <w:ind w:firstLine="480" w:firstLineChars="200"/>
        <w:rPr>
          <w:rFonts w:hint="eastAsia" w:ascii="仿宋" w:hAnsi="仿宋" w:eastAsia="仿宋" w:cs="仿宋"/>
          <w:sz w:val="24"/>
        </w:rPr>
      </w:pPr>
      <w:bookmarkStart w:id="8" w:name="_Toc19515389"/>
      <w:r>
        <w:rPr>
          <w:rFonts w:hint="eastAsia" w:ascii="仿宋" w:hAnsi="仿宋" w:eastAsia="仿宋" w:cs="仿宋"/>
          <w:sz w:val="24"/>
        </w:rPr>
        <w:t>六、质量保证</w:t>
      </w:r>
      <w:bookmarkEnd w:id="8"/>
    </w:p>
    <w:p w14:paraId="504A3C02">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1、乙方提供货物必须是原品牌制造厂制造的最新工艺、生产的最新产品。</w:t>
      </w:r>
    </w:p>
    <w:p w14:paraId="6A6E867F">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2、所供货物必须是经过办理正常手续的全新产品。</w:t>
      </w:r>
    </w:p>
    <w:p w14:paraId="2804421E">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3、所供货物是经过国家法定检验、注册、准许市场销售的合法产品。</w:t>
      </w:r>
    </w:p>
    <w:p w14:paraId="591C8A2F">
      <w:pPr>
        <w:adjustRightInd w:val="0"/>
        <w:snapToGrid w:val="0"/>
        <w:spacing w:line="360" w:lineRule="auto"/>
        <w:ind w:firstLine="480" w:firstLineChars="200"/>
        <w:rPr>
          <w:rFonts w:hint="eastAsia" w:ascii="仿宋" w:hAnsi="仿宋" w:eastAsia="仿宋" w:cs="仿宋"/>
          <w:b w:val="0"/>
          <w:bCs w:val="0"/>
          <w:sz w:val="24"/>
        </w:rPr>
      </w:pPr>
      <w:r>
        <w:rPr>
          <w:rFonts w:hint="eastAsia" w:ascii="仿宋" w:hAnsi="仿宋" w:eastAsia="仿宋" w:cs="仿宋"/>
          <w:sz w:val="24"/>
        </w:rPr>
        <w:t>4、货物性能稳定、具有较好的使用效果，质量保证措施完善，符合国家相关标准</w:t>
      </w:r>
      <w:r>
        <w:rPr>
          <w:rFonts w:hint="eastAsia" w:ascii="仿宋" w:hAnsi="仿宋" w:eastAsia="仿宋" w:cs="仿宋"/>
          <w:b w:val="0"/>
          <w:bCs w:val="0"/>
          <w:sz w:val="24"/>
        </w:rPr>
        <w:t>。</w:t>
      </w:r>
    </w:p>
    <w:p w14:paraId="5A98FFEC">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b w:val="0"/>
          <w:bCs w:val="0"/>
          <w:sz w:val="24"/>
        </w:rPr>
        <w:t>5、</w:t>
      </w:r>
      <w:r>
        <w:rPr>
          <w:rFonts w:hint="eastAsia" w:ascii="仿宋" w:hAnsi="仿宋" w:eastAsia="仿宋" w:cs="仿宋"/>
          <w:b w:val="0"/>
          <w:bCs w:val="0"/>
          <w:sz w:val="24"/>
          <w:lang w:val="en-US" w:eastAsia="zh-CN"/>
        </w:rPr>
        <w:t>本</w:t>
      </w:r>
      <w:r>
        <w:rPr>
          <w:rFonts w:hint="eastAsia" w:ascii="仿宋" w:hAnsi="仿宋" w:eastAsia="仿宋" w:cs="仿宋"/>
          <w:b w:val="0"/>
          <w:bCs w:val="0"/>
          <w:sz w:val="24"/>
        </w:rPr>
        <w:t>项目</w:t>
      </w:r>
      <w:r>
        <w:rPr>
          <w:rFonts w:hint="eastAsia" w:ascii="仿宋" w:hAnsi="仿宋" w:eastAsia="仿宋" w:cs="仿宋"/>
          <w:b w:val="0"/>
          <w:bCs w:val="0"/>
          <w:sz w:val="24"/>
          <w:lang w:val="en-US" w:eastAsia="zh-CN"/>
        </w:rPr>
        <w:t>整体</w:t>
      </w:r>
      <w:r>
        <w:rPr>
          <w:rFonts w:hint="eastAsia" w:ascii="仿宋" w:hAnsi="仿宋" w:eastAsia="仿宋" w:cs="仿宋"/>
          <w:b w:val="0"/>
          <w:bCs w:val="0"/>
          <w:sz w:val="24"/>
        </w:rPr>
        <w:t>质保期为验收合格后</w:t>
      </w:r>
      <w:r>
        <w:rPr>
          <w:rFonts w:hint="eastAsia" w:ascii="仿宋" w:hAnsi="仿宋" w:eastAsia="仿宋" w:cs="仿宋"/>
          <w:b w:val="0"/>
          <w:bCs w:val="0"/>
          <w:sz w:val="24"/>
          <w:u w:val="single"/>
        </w:rPr>
        <w:t xml:space="preserve"> ≥</w:t>
      </w:r>
      <w:r>
        <w:rPr>
          <w:rFonts w:hint="eastAsia" w:ascii="仿宋" w:hAnsi="仿宋" w:eastAsia="仿宋" w:cs="仿宋"/>
          <w:b w:val="0"/>
          <w:bCs w:val="0"/>
          <w:sz w:val="24"/>
          <w:u w:val="single"/>
          <w:lang w:val="en-US" w:eastAsia="zh-CN"/>
        </w:rPr>
        <w:t>12</w:t>
      </w:r>
      <w:r>
        <w:rPr>
          <w:rFonts w:hint="eastAsia" w:ascii="仿宋" w:hAnsi="仿宋" w:eastAsia="仿宋" w:cs="仿宋"/>
          <w:b w:val="0"/>
          <w:bCs w:val="0"/>
          <w:sz w:val="24"/>
          <w:u w:val="single"/>
        </w:rPr>
        <w:t xml:space="preserve"> </w:t>
      </w:r>
      <w:r>
        <w:rPr>
          <w:rFonts w:hint="eastAsia" w:ascii="仿宋" w:hAnsi="仿宋" w:eastAsia="仿宋" w:cs="仿宋"/>
          <w:b w:val="0"/>
          <w:bCs w:val="0"/>
          <w:sz w:val="24"/>
        </w:rPr>
        <w:t>个月</w:t>
      </w:r>
      <w:r>
        <w:rPr>
          <w:rFonts w:hint="eastAsia" w:ascii="仿宋" w:hAnsi="仿宋" w:eastAsia="仿宋" w:cs="仿宋"/>
          <w:sz w:val="24"/>
        </w:rPr>
        <w:t>。</w:t>
      </w:r>
    </w:p>
    <w:p w14:paraId="4819A9B3">
      <w:pPr>
        <w:adjustRightInd w:val="0"/>
        <w:snapToGrid w:val="0"/>
        <w:spacing w:line="360" w:lineRule="auto"/>
        <w:ind w:firstLine="480" w:firstLineChars="200"/>
        <w:rPr>
          <w:rFonts w:hint="eastAsia" w:ascii="仿宋" w:hAnsi="仿宋" w:eastAsia="仿宋" w:cs="仿宋"/>
          <w:sz w:val="24"/>
          <w:lang w:val="en-US" w:eastAsia="zh-CN"/>
        </w:rPr>
      </w:pPr>
      <w:r>
        <w:rPr>
          <w:rFonts w:hint="eastAsia" w:ascii="仿宋" w:hAnsi="仿宋" w:eastAsia="仿宋" w:cs="仿宋"/>
          <w:sz w:val="24"/>
          <w:lang w:val="en-US" w:eastAsia="zh-CN"/>
        </w:rPr>
        <w:t>6、本项目所有软件含一年免费维保费，一年后维保费用双方再商议，原则上不超过软件中标价格的10%。</w:t>
      </w:r>
    </w:p>
    <w:p w14:paraId="20C54BDC">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lang w:val="en-US" w:eastAsia="zh-CN"/>
        </w:rPr>
        <w:t>7</w:t>
      </w:r>
      <w:r>
        <w:rPr>
          <w:rFonts w:hint="eastAsia" w:ascii="仿宋" w:hAnsi="仿宋" w:eastAsia="仿宋" w:cs="仿宋"/>
          <w:sz w:val="24"/>
        </w:rPr>
        <w:t>、包装要求</w:t>
      </w:r>
      <w:bookmarkStart w:id="15" w:name="_GoBack"/>
      <w:bookmarkEnd w:id="15"/>
    </w:p>
    <w:p w14:paraId="0BEE52AF">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lang w:val="en-US" w:eastAsia="zh-CN"/>
        </w:rPr>
        <w:t>7</w:t>
      </w:r>
      <w:r>
        <w:rPr>
          <w:rFonts w:hint="eastAsia" w:ascii="仿宋" w:hAnsi="仿宋" w:eastAsia="仿宋" w:cs="仿宋"/>
          <w:sz w:val="24"/>
        </w:rPr>
        <w:t>-1、除合同另有规定外，乙方提供的全部货物，均应按标准保护措施进行包装，并确保货物安全无损运抵甲方指定地点。</w:t>
      </w:r>
    </w:p>
    <w:p w14:paraId="76A6D8D5">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lang w:val="en-US" w:eastAsia="zh-CN"/>
        </w:rPr>
        <w:t>7</w:t>
      </w:r>
      <w:r>
        <w:rPr>
          <w:rFonts w:hint="eastAsia" w:ascii="仿宋" w:hAnsi="仿宋" w:eastAsia="仿宋" w:cs="仿宋"/>
          <w:sz w:val="24"/>
        </w:rPr>
        <w:t>-2、每一个包装箱内应附一份详细装箱单和质量合格证。</w:t>
      </w:r>
    </w:p>
    <w:p w14:paraId="578FFDAD">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lang w:val="en-US" w:eastAsia="zh-CN"/>
        </w:rPr>
        <w:t>8</w:t>
      </w:r>
      <w:r>
        <w:rPr>
          <w:rFonts w:hint="eastAsia" w:ascii="仿宋" w:hAnsi="仿宋" w:eastAsia="仿宋" w:cs="仿宋"/>
          <w:sz w:val="24"/>
        </w:rPr>
        <w:t>、乙方应保证甲方在使用该货物或其任何一部分时免受第三方提出侵犯其专利权、商标权或工业设计权的起诉。</w:t>
      </w:r>
    </w:p>
    <w:p w14:paraId="204BF300">
      <w:pPr>
        <w:adjustRightInd w:val="0"/>
        <w:snapToGrid w:val="0"/>
        <w:spacing w:line="360" w:lineRule="auto"/>
        <w:ind w:firstLine="480" w:firstLineChars="200"/>
        <w:rPr>
          <w:rFonts w:hint="eastAsia" w:ascii="仿宋" w:hAnsi="仿宋" w:eastAsia="仿宋" w:cs="仿宋"/>
          <w:sz w:val="24"/>
        </w:rPr>
      </w:pPr>
      <w:bookmarkStart w:id="9" w:name="_Toc19515390"/>
      <w:r>
        <w:rPr>
          <w:rFonts w:hint="eastAsia" w:ascii="仿宋" w:hAnsi="仿宋" w:eastAsia="仿宋" w:cs="仿宋"/>
          <w:sz w:val="24"/>
        </w:rPr>
        <w:t>七、技术服务</w:t>
      </w:r>
      <w:bookmarkEnd w:id="9"/>
    </w:p>
    <w:p w14:paraId="488FCAE1">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1、对技术服务的要求：</w:t>
      </w:r>
    </w:p>
    <w:p w14:paraId="03540521">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2、技术资料：</w:t>
      </w:r>
    </w:p>
    <w:p w14:paraId="78DB71F7">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2-1、产品合格证及检验报告；</w:t>
      </w:r>
    </w:p>
    <w:p w14:paraId="2584921C">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2-2、产品使用说明书（中文）；</w:t>
      </w:r>
    </w:p>
    <w:p w14:paraId="4ECF7FF6">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2-</w:t>
      </w:r>
      <w:r>
        <w:rPr>
          <w:rFonts w:hint="eastAsia" w:ascii="仿宋" w:hAnsi="仿宋" w:eastAsia="仿宋" w:cs="仿宋"/>
          <w:sz w:val="24"/>
          <w:lang w:val="en-US" w:eastAsia="zh-CN"/>
        </w:rPr>
        <w:t>3</w:t>
      </w:r>
      <w:r>
        <w:rPr>
          <w:rFonts w:hint="eastAsia" w:ascii="仿宋" w:hAnsi="仿宋" w:eastAsia="仿宋" w:cs="仿宋"/>
          <w:sz w:val="24"/>
        </w:rPr>
        <w:t>、其它资料。</w:t>
      </w:r>
    </w:p>
    <w:p w14:paraId="2CB1C796">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3、技术培训：</w:t>
      </w:r>
    </w:p>
    <w:p w14:paraId="57415E0B">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3-1、培训内容：</w:t>
      </w:r>
    </w:p>
    <w:p w14:paraId="6D563211">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3-2、培训地点：</w:t>
      </w:r>
    </w:p>
    <w:p w14:paraId="3851F953">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3-3、培训时间：</w:t>
      </w:r>
    </w:p>
    <w:p w14:paraId="7ED906FF">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3-4、培训人数：</w:t>
      </w:r>
    </w:p>
    <w:p w14:paraId="1A231FAC">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3-5、培训费用：受训人员的食宿费、资料费、培训场地费、耗材（包括水电费等）费等已包含在合同总价中，甲方不再另行支付。</w:t>
      </w:r>
    </w:p>
    <w:p w14:paraId="38022E16">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4、售后服务</w:t>
      </w:r>
    </w:p>
    <w:p w14:paraId="1402EADB">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4-1、如遇仪器故障在电话能解决的情况下24小时内必须排除故障，如不能解决，乙方在接到甲方保修电话故障通知后在2-3个工作日内派出合格的维修人员到达现场进行维修服务，承担相应费用，若需将产品送回生产厂，乙方应提供备用机、承担维修产品所需的往返费用。</w:t>
      </w:r>
    </w:p>
    <w:p w14:paraId="50A3090C">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4-2、如果乙方在收到通知后两天内没有弥补缺陷，甲方可采取必要的补救措施，但其风险和费用将由乙方承担，甲方根据合同规定对乙方行使的其它权力不受影响。甲方亦可从质保金中扣回索赔金额。</w:t>
      </w:r>
    </w:p>
    <w:p w14:paraId="3D506CBC">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5、伴随服务</w:t>
      </w:r>
    </w:p>
    <w:p w14:paraId="11318E46">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5-1、乙方应随同每套货物提供相应的中文的技术文件。</w:t>
      </w:r>
    </w:p>
    <w:p w14:paraId="666E668B">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5-1-1、完整的操作使用手册和维护、修理技术文件，图纸、保修卡等。</w:t>
      </w:r>
    </w:p>
    <w:p w14:paraId="775D3F80">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5-1-2、制造厂的检验、测试报告、检验合格证书，计量合格等级证书，质量保证书等文件须随产品装箱提供。</w:t>
      </w:r>
    </w:p>
    <w:p w14:paraId="087C25D6">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5-1-3、必须的其它技术资料。</w:t>
      </w:r>
    </w:p>
    <w:p w14:paraId="51865F82">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5-2、伴随服务的费用已含在合同价中，不单独进行支付。</w:t>
      </w:r>
    </w:p>
    <w:p w14:paraId="04C30BCB">
      <w:pPr>
        <w:adjustRightInd w:val="0"/>
        <w:snapToGrid w:val="0"/>
        <w:spacing w:line="360" w:lineRule="auto"/>
        <w:ind w:firstLine="480" w:firstLineChars="200"/>
        <w:rPr>
          <w:rFonts w:hint="eastAsia" w:ascii="仿宋" w:hAnsi="仿宋" w:eastAsia="仿宋" w:cs="仿宋"/>
          <w:sz w:val="24"/>
        </w:rPr>
      </w:pPr>
      <w:bookmarkStart w:id="10" w:name="_Toc19515391"/>
      <w:r>
        <w:rPr>
          <w:rFonts w:hint="eastAsia" w:ascii="仿宋" w:hAnsi="仿宋" w:eastAsia="仿宋" w:cs="仿宋"/>
          <w:sz w:val="24"/>
        </w:rPr>
        <w:t>八、验收</w:t>
      </w:r>
      <w:bookmarkEnd w:id="10"/>
    </w:p>
    <w:p w14:paraId="0D4A00B9">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1、到货验收：货物到货后，由甲方与乙方共同进行外观验收，验收内容包括，外包装的完好性，货物品牌、规格、数量及产地与合同要求的一致性。</w:t>
      </w:r>
    </w:p>
    <w:p w14:paraId="2CCBF9BB">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2、货物运行验收：乙方安装调试合格后，向甲方提出验收申请，甲方接到乙方验收申请后组织验收（必要时可聘请相应专家或委托相应部门验收），验收合格后，出具使用验收合格证明。</w:t>
      </w:r>
    </w:p>
    <w:p w14:paraId="3A857B20">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3、最终验收：最终验收结果作为付款依据，乙方填写验收单，并向甲方提交实施过程中的所有资料，以便甲方日后管理和维护。</w:t>
      </w:r>
    </w:p>
    <w:p w14:paraId="23355210">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4、质保期满后：由乙方出具质保期运行质量报告，作为质保金支付依据，若存在质量问题，应按相应规定协商处理。</w:t>
      </w:r>
    </w:p>
    <w:p w14:paraId="46403B76">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5、验收依据：</w:t>
      </w:r>
    </w:p>
    <w:p w14:paraId="279DEB39">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5-1、合同文本、合同附件、招标文件、投标文件。</w:t>
      </w:r>
    </w:p>
    <w:p w14:paraId="3ADF9646">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5-2、国内相应的标准、规范。</w:t>
      </w:r>
    </w:p>
    <w:p w14:paraId="1CFF8C35">
      <w:pPr>
        <w:adjustRightInd w:val="0"/>
        <w:snapToGrid w:val="0"/>
        <w:spacing w:line="360" w:lineRule="auto"/>
        <w:ind w:firstLine="480" w:firstLineChars="200"/>
        <w:rPr>
          <w:rFonts w:hint="eastAsia" w:ascii="仿宋" w:hAnsi="仿宋" w:eastAsia="仿宋" w:cs="仿宋"/>
          <w:sz w:val="24"/>
        </w:rPr>
      </w:pPr>
      <w:bookmarkStart w:id="11" w:name="_Toc19515392"/>
      <w:r>
        <w:rPr>
          <w:rFonts w:hint="eastAsia" w:ascii="仿宋" w:hAnsi="仿宋" w:eastAsia="仿宋" w:cs="仿宋"/>
          <w:sz w:val="24"/>
        </w:rPr>
        <w:t>九、违约责任</w:t>
      </w:r>
      <w:bookmarkEnd w:id="11"/>
    </w:p>
    <w:p w14:paraId="4BB910CB">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1、按《合同法》中的相关条款执行。</w:t>
      </w:r>
    </w:p>
    <w:p w14:paraId="0CDA9997">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2、乙方履约延误</w:t>
      </w:r>
    </w:p>
    <w:p w14:paraId="6666E31C">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2-1、如乙方事先未征得甲方同意并得到甲方的谅解而单方面延迟交货，将按违约终止合同。</w:t>
      </w:r>
    </w:p>
    <w:p w14:paraId="2353FB46">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2-2、在履行合同过程中，如果乙方遇到可能妨碍按时交货和提供服务的情况，应及时以书面形式将拖延的事实，可能拖延的期限和理由通知甲方。甲方在收到乙方通知后，应尽快对情况进行评价，并确定是否通过修改合同，酌情延长交货时间或对乙方加收误期赔偿金。每延误一周的赔偿费按迟交货物交货价或未提供服务的服务费用的百分之零点五（0.5%）计收，直至交货或提供服务为止。误期赔偿费的最高限额为合同价格的百分之五（5%）。一旦达到误期赔偿费的最高限额，甲方可终止合同。</w:t>
      </w:r>
    </w:p>
    <w:p w14:paraId="7850CBB4">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3、违约终止合同：未按合同要求提供货物或质量不能满足技术要求，甲方会同监督机构有权终止合同，对乙方违约行为进行追究，同时按政府采购法的有关规定进行相应的处罚。</w:t>
      </w:r>
    </w:p>
    <w:p w14:paraId="62FBA2AC">
      <w:pPr>
        <w:adjustRightInd w:val="0"/>
        <w:snapToGrid w:val="0"/>
        <w:spacing w:line="360" w:lineRule="auto"/>
        <w:ind w:firstLine="480" w:firstLineChars="200"/>
        <w:rPr>
          <w:rFonts w:hint="eastAsia" w:ascii="仿宋" w:hAnsi="仿宋" w:eastAsia="仿宋" w:cs="仿宋"/>
          <w:sz w:val="24"/>
        </w:rPr>
      </w:pPr>
      <w:bookmarkStart w:id="12" w:name="_Toc19515393"/>
      <w:r>
        <w:rPr>
          <w:rFonts w:hint="eastAsia" w:ascii="仿宋" w:hAnsi="仿宋" w:eastAsia="仿宋" w:cs="仿宋"/>
          <w:sz w:val="24"/>
        </w:rPr>
        <w:t>十、合同组成</w:t>
      </w:r>
      <w:bookmarkEnd w:id="12"/>
    </w:p>
    <w:p w14:paraId="6A19F33E">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1、中标通知书</w:t>
      </w:r>
    </w:p>
    <w:p w14:paraId="212F677C">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2、合同文件</w:t>
      </w:r>
    </w:p>
    <w:p w14:paraId="6B70781A">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3、国家相关规范及标准</w:t>
      </w:r>
    </w:p>
    <w:p w14:paraId="4D843AEF">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4、供货产品技术规格及参数表</w:t>
      </w:r>
    </w:p>
    <w:p w14:paraId="3413DB54">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5、招标文件</w:t>
      </w:r>
    </w:p>
    <w:p w14:paraId="7706817A">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6、投标文件</w:t>
      </w:r>
    </w:p>
    <w:p w14:paraId="6C549612">
      <w:pPr>
        <w:adjustRightInd w:val="0"/>
        <w:snapToGrid w:val="0"/>
        <w:spacing w:line="360" w:lineRule="auto"/>
        <w:ind w:firstLine="480" w:firstLineChars="200"/>
        <w:rPr>
          <w:rFonts w:hint="eastAsia" w:ascii="仿宋" w:hAnsi="仿宋" w:eastAsia="仿宋" w:cs="仿宋"/>
          <w:sz w:val="24"/>
        </w:rPr>
      </w:pPr>
      <w:bookmarkStart w:id="13" w:name="_Toc19515394"/>
      <w:r>
        <w:rPr>
          <w:rFonts w:hint="eastAsia" w:ascii="仿宋" w:hAnsi="仿宋" w:eastAsia="仿宋" w:cs="仿宋"/>
          <w:sz w:val="24"/>
        </w:rPr>
        <w:t>十一、解决争议的方法</w:t>
      </w:r>
      <w:bookmarkEnd w:id="13"/>
    </w:p>
    <w:p w14:paraId="28EA4D1D">
      <w:pPr>
        <w:widowControl/>
        <w:autoSpaceDE w:val="0"/>
        <w:autoSpaceDN w:val="0"/>
        <w:snapToGrid w:val="0"/>
        <w:spacing w:line="360" w:lineRule="auto"/>
        <w:ind w:right="-110" w:firstLine="480" w:firstLineChars="200"/>
        <w:textAlignment w:val="bottom"/>
        <w:rPr>
          <w:rFonts w:hint="eastAsia" w:ascii="仿宋" w:hAnsi="仿宋" w:eastAsia="仿宋" w:cs="仿宋"/>
          <w:kern w:val="0"/>
          <w:sz w:val="24"/>
        </w:rPr>
      </w:pPr>
      <w:r>
        <w:rPr>
          <w:rFonts w:hint="eastAsia" w:ascii="仿宋" w:hAnsi="仿宋" w:eastAsia="仿宋" w:cs="仿宋"/>
          <w:kern w:val="0"/>
          <w:sz w:val="24"/>
        </w:rPr>
        <w:t>凡因本合同引起的或与本合同有关的争议，双方应友好协商解决。协商不成时，双方均同意采用以下第（  ）种争议解决方式：</w:t>
      </w:r>
    </w:p>
    <w:p w14:paraId="4ED41487">
      <w:pPr>
        <w:widowControl/>
        <w:autoSpaceDE w:val="0"/>
        <w:autoSpaceDN w:val="0"/>
        <w:snapToGrid w:val="0"/>
        <w:spacing w:line="360" w:lineRule="auto"/>
        <w:ind w:right="-110" w:firstLine="480" w:firstLineChars="200"/>
        <w:textAlignment w:val="bottom"/>
        <w:rPr>
          <w:rFonts w:hint="eastAsia" w:ascii="仿宋" w:hAnsi="仿宋" w:eastAsia="仿宋" w:cs="仿宋"/>
          <w:kern w:val="0"/>
          <w:sz w:val="24"/>
        </w:rPr>
      </w:pPr>
      <w:r>
        <w:rPr>
          <w:rFonts w:hint="eastAsia" w:ascii="仿宋" w:hAnsi="仿宋" w:eastAsia="仿宋" w:cs="仿宋"/>
          <w:kern w:val="0"/>
          <w:sz w:val="24"/>
        </w:rPr>
        <w:t>（1）、甲、乙双方均同意向（甲方所在地人民法院）提起诉讼。</w:t>
      </w:r>
    </w:p>
    <w:p w14:paraId="22050C2C">
      <w:pPr>
        <w:widowControl/>
        <w:autoSpaceDE w:val="0"/>
        <w:autoSpaceDN w:val="0"/>
        <w:snapToGrid w:val="0"/>
        <w:spacing w:line="360" w:lineRule="auto"/>
        <w:ind w:right="-110" w:firstLine="480" w:firstLineChars="200"/>
        <w:textAlignment w:val="bottom"/>
        <w:rPr>
          <w:rFonts w:hint="eastAsia" w:ascii="仿宋" w:hAnsi="仿宋" w:eastAsia="仿宋" w:cs="仿宋"/>
          <w:kern w:val="0"/>
          <w:sz w:val="24"/>
        </w:rPr>
      </w:pPr>
      <w:r>
        <w:rPr>
          <w:rFonts w:hint="eastAsia" w:ascii="仿宋" w:hAnsi="仿宋" w:eastAsia="仿宋" w:cs="仿宋"/>
          <w:kern w:val="0"/>
          <w:sz w:val="24"/>
        </w:rPr>
        <w:t>（2）、甲、乙双方均同意向（</w:t>
      </w:r>
      <w:r>
        <w:rPr>
          <w:rFonts w:hint="eastAsia" w:ascii="仿宋" w:hAnsi="仿宋" w:eastAsia="仿宋" w:cs="仿宋"/>
          <w:kern w:val="0"/>
          <w:sz w:val="24"/>
        </w:rPr>
        <w:fldChar w:fldCharType="begin"/>
      </w:r>
      <w:r>
        <w:rPr>
          <w:rFonts w:hint="eastAsia" w:ascii="仿宋" w:hAnsi="仿宋" w:eastAsia="仿宋" w:cs="仿宋"/>
          <w:kern w:val="0"/>
          <w:sz w:val="24"/>
        </w:rPr>
        <w:instrText xml:space="preserve"> HYPERLINK "http://www.baidu.com/s?wd=%E4%BB%B2%E8%A3%81%E5%A7%94%E5%91%98%E4%BC%9A&amp;tn=SE_PcZhidaonwhc_ngpagmjz&amp;rsv_dl=gh_pc_zhidao" \t "_blank" </w:instrText>
      </w:r>
      <w:r>
        <w:rPr>
          <w:rFonts w:hint="eastAsia" w:ascii="仿宋" w:hAnsi="仿宋" w:eastAsia="仿宋" w:cs="仿宋"/>
          <w:kern w:val="0"/>
          <w:sz w:val="24"/>
        </w:rPr>
        <w:fldChar w:fldCharType="separate"/>
      </w:r>
      <w:r>
        <w:rPr>
          <w:rFonts w:hint="eastAsia" w:ascii="仿宋" w:hAnsi="仿宋" w:eastAsia="仿宋" w:cs="仿宋"/>
          <w:kern w:val="0"/>
          <w:sz w:val="24"/>
        </w:rPr>
        <w:t>仲裁委员会</w:t>
      </w:r>
      <w:r>
        <w:rPr>
          <w:rFonts w:hint="eastAsia" w:ascii="仿宋" w:hAnsi="仿宋" w:eastAsia="仿宋" w:cs="仿宋"/>
          <w:kern w:val="0"/>
          <w:sz w:val="24"/>
        </w:rPr>
        <w:fldChar w:fldCharType="end"/>
      </w:r>
      <w:r>
        <w:rPr>
          <w:rFonts w:hint="eastAsia" w:ascii="仿宋" w:hAnsi="仿宋" w:eastAsia="仿宋" w:cs="仿宋"/>
          <w:kern w:val="0"/>
          <w:sz w:val="24"/>
        </w:rPr>
        <w:t>）提起仲裁。</w:t>
      </w:r>
    </w:p>
    <w:p w14:paraId="16EF155E">
      <w:pPr>
        <w:adjustRightInd w:val="0"/>
        <w:snapToGrid w:val="0"/>
        <w:spacing w:line="360" w:lineRule="auto"/>
        <w:ind w:firstLine="480" w:firstLineChars="200"/>
        <w:rPr>
          <w:rFonts w:hint="eastAsia" w:ascii="仿宋" w:hAnsi="仿宋" w:eastAsia="仿宋" w:cs="仿宋"/>
          <w:sz w:val="24"/>
        </w:rPr>
      </w:pPr>
      <w:bookmarkStart w:id="14" w:name="_Toc19515395"/>
      <w:r>
        <w:rPr>
          <w:rFonts w:hint="eastAsia" w:ascii="仿宋" w:hAnsi="仿宋" w:eastAsia="仿宋" w:cs="仿宋"/>
          <w:sz w:val="24"/>
        </w:rPr>
        <w:t>十二、合同生效及其它</w:t>
      </w:r>
      <w:bookmarkEnd w:id="14"/>
    </w:p>
    <w:p w14:paraId="5FC54B3E">
      <w:pPr>
        <w:widowControl/>
        <w:autoSpaceDE w:val="0"/>
        <w:autoSpaceDN w:val="0"/>
        <w:snapToGrid w:val="0"/>
        <w:spacing w:line="360" w:lineRule="auto"/>
        <w:ind w:right="-110" w:firstLine="480" w:firstLineChars="200"/>
        <w:textAlignment w:val="bottom"/>
        <w:rPr>
          <w:rFonts w:hint="eastAsia" w:ascii="仿宋" w:hAnsi="仿宋" w:eastAsia="仿宋" w:cs="仿宋"/>
          <w:kern w:val="0"/>
          <w:sz w:val="24"/>
        </w:rPr>
      </w:pPr>
      <w:r>
        <w:rPr>
          <w:rFonts w:hint="eastAsia" w:ascii="仿宋" w:hAnsi="仿宋" w:eastAsia="仿宋" w:cs="仿宋"/>
          <w:kern w:val="0"/>
          <w:sz w:val="24"/>
        </w:rPr>
        <w:t>1、合同未尽事宜、由甲、乙双方协商，作为合同补充，与原合同具有同等法律效力。</w:t>
      </w:r>
    </w:p>
    <w:p w14:paraId="7935936E">
      <w:pPr>
        <w:widowControl/>
        <w:tabs>
          <w:tab w:val="left" w:pos="8391"/>
        </w:tabs>
        <w:autoSpaceDE w:val="0"/>
        <w:autoSpaceDN w:val="0"/>
        <w:snapToGrid w:val="0"/>
        <w:spacing w:line="360" w:lineRule="auto"/>
        <w:ind w:right="-69" w:firstLine="480" w:firstLineChars="200"/>
        <w:textAlignment w:val="bottom"/>
        <w:rPr>
          <w:rFonts w:hint="eastAsia" w:ascii="仿宋" w:hAnsi="仿宋" w:eastAsia="仿宋" w:cs="仿宋"/>
          <w:kern w:val="0"/>
          <w:sz w:val="24"/>
        </w:rPr>
      </w:pPr>
      <w:r>
        <w:rPr>
          <w:rFonts w:hint="eastAsia" w:ascii="仿宋" w:hAnsi="仿宋" w:eastAsia="仿宋" w:cs="仿宋"/>
          <w:kern w:val="0"/>
          <w:sz w:val="24"/>
        </w:rPr>
        <w:t>2、 本合同正本一式</w:t>
      </w:r>
      <w:r>
        <w:rPr>
          <w:rFonts w:hint="eastAsia" w:ascii="仿宋" w:hAnsi="仿宋" w:eastAsia="仿宋" w:cs="仿宋"/>
          <w:kern w:val="0"/>
          <w:sz w:val="24"/>
          <w:u w:val="single"/>
        </w:rPr>
        <w:t xml:space="preserve">  </w:t>
      </w:r>
      <w:r>
        <w:rPr>
          <w:rFonts w:hint="eastAsia" w:ascii="仿宋" w:hAnsi="仿宋" w:eastAsia="仿宋" w:cs="仿宋"/>
          <w:kern w:val="0"/>
          <w:sz w:val="24"/>
        </w:rPr>
        <w:t>份，甲方、乙方双方分别执</w:t>
      </w:r>
      <w:r>
        <w:rPr>
          <w:rFonts w:hint="eastAsia" w:ascii="仿宋" w:hAnsi="仿宋" w:eastAsia="仿宋" w:cs="仿宋"/>
          <w:kern w:val="0"/>
          <w:sz w:val="24"/>
          <w:u w:val="single"/>
        </w:rPr>
        <w:t xml:space="preserve">  </w:t>
      </w:r>
      <w:r>
        <w:rPr>
          <w:rFonts w:hint="eastAsia" w:ascii="仿宋" w:hAnsi="仿宋" w:eastAsia="仿宋" w:cs="仿宋"/>
          <w:kern w:val="0"/>
          <w:sz w:val="24"/>
        </w:rPr>
        <w:t>份，</w:t>
      </w:r>
      <w:r>
        <w:rPr>
          <w:rFonts w:hint="eastAsia" w:ascii="仿宋" w:hAnsi="仿宋" w:eastAsia="仿宋" w:cs="仿宋"/>
          <w:kern w:val="0"/>
          <w:sz w:val="24"/>
          <w:u w:val="single"/>
        </w:rPr>
        <w:t xml:space="preserve">   </w:t>
      </w:r>
      <w:r>
        <w:rPr>
          <w:rFonts w:hint="eastAsia" w:ascii="仿宋" w:hAnsi="仿宋" w:eastAsia="仿宋" w:cs="仿宋"/>
          <w:kern w:val="0"/>
          <w:sz w:val="24"/>
        </w:rPr>
        <w:t>备案</w:t>
      </w:r>
      <w:r>
        <w:rPr>
          <w:rFonts w:hint="eastAsia" w:ascii="仿宋" w:hAnsi="仿宋" w:eastAsia="仿宋" w:cs="仿宋"/>
          <w:kern w:val="0"/>
          <w:sz w:val="24"/>
          <w:u w:val="single"/>
        </w:rPr>
        <w:t xml:space="preserve">  </w:t>
      </w:r>
      <w:r>
        <w:rPr>
          <w:rFonts w:hint="eastAsia" w:ascii="仿宋" w:hAnsi="仿宋" w:eastAsia="仿宋" w:cs="仿宋"/>
          <w:kern w:val="0"/>
          <w:sz w:val="24"/>
        </w:rPr>
        <w:t>份。</w:t>
      </w:r>
    </w:p>
    <w:p w14:paraId="1963914F">
      <w:pPr>
        <w:widowControl/>
        <w:tabs>
          <w:tab w:val="left" w:pos="8391"/>
        </w:tabs>
        <w:autoSpaceDE w:val="0"/>
        <w:autoSpaceDN w:val="0"/>
        <w:snapToGrid w:val="0"/>
        <w:spacing w:line="360" w:lineRule="auto"/>
        <w:ind w:right="-69" w:firstLine="480" w:firstLineChars="200"/>
        <w:textAlignment w:val="bottom"/>
        <w:rPr>
          <w:rFonts w:hint="eastAsia" w:ascii="仿宋" w:hAnsi="仿宋" w:eastAsia="仿宋" w:cs="仿宋"/>
          <w:kern w:val="0"/>
          <w:sz w:val="24"/>
        </w:rPr>
      </w:pPr>
      <w:r>
        <w:rPr>
          <w:rFonts w:hint="eastAsia" w:ascii="仿宋" w:hAnsi="仿宋" w:eastAsia="仿宋" w:cs="仿宋"/>
          <w:kern w:val="0"/>
          <w:sz w:val="24"/>
        </w:rPr>
        <w:t>3、合同经甲乙双方盖章、签字后生效，合同签订地点为</w:t>
      </w:r>
      <w:r>
        <w:rPr>
          <w:rFonts w:hint="eastAsia" w:ascii="仿宋" w:hAnsi="仿宋" w:eastAsia="仿宋" w:cs="仿宋"/>
          <w:kern w:val="0"/>
          <w:sz w:val="24"/>
          <w:u w:val="single"/>
        </w:rPr>
        <w:t xml:space="preserve">   </w:t>
      </w:r>
      <w:r>
        <w:rPr>
          <w:rFonts w:hint="eastAsia" w:ascii="仿宋" w:hAnsi="仿宋" w:eastAsia="仿宋" w:cs="仿宋"/>
          <w:kern w:val="0"/>
          <w:sz w:val="24"/>
        </w:rPr>
        <w:t>。</w:t>
      </w:r>
    </w:p>
    <w:p w14:paraId="4C72C472">
      <w:pPr>
        <w:widowControl/>
        <w:tabs>
          <w:tab w:val="left" w:pos="8391"/>
        </w:tabs>
        <w:autoSpaceDE w:val="0"/>
        <w:autoSpaceDN w:val="0"/>
        <w:snapToGrid w:val="0"/>
        <w:spacing w:line="360" w:lineRule="auto"/>
        <w:ind w:right="-69" w:firstLine="480" w:firstLineChars="200"/>
        <w:textAlignment w:val="bottom"/>
        <w:rPr>
          <w:rFonts w:hint="eastAsia" w:ascii="仿宋" w:hAnsi="仿宋" w:eastAsia="仿宋" w:cs="仿宋"/>
          <w:kern w:val="0"/>
          <w:sz w:val="24"/>
        </w:rPr>
      </w:pPr>
      <w:r>
        <w:rPr>
          <w:rFonts w:hint="eastAsia" w:ascii="仿宋" w:hAnsi="仿宋" w:eastAsia="仿宋" w:cs="仿宋"/>
          <w:kern w:val="0"/>
          <w:sz w:val="24"/>
        </w:rPr>
        <w:t>4、生效时间：   年  月  日</w:t>
      </w:r>
    </w:p>
    <w:p w14:paraId="54A4C4F6">
      <w:pPr>
        <w:widowControl/>
        <w:tabs>
          <w:tab w:val="left" w:pos="8391"/>
        </w:tabs>
        <w:autoSpaceDE w:val="0"/>
        <w:autoSpaceDN w:val="0"/>
        <w:snapToGrid w:val="0"/>
        <w:spacing w:line="360" w:lineRule="auto"/>
        <w:ind w:right="-69" w:firstLine="840" w:firstLineChars="350"/>
        <w:textAlignment w:val="bottom"/>
        <w:rPr>
          <w:rFonts w:hint="eastAsia" w:ascii="仿宋" w:hAnsi="仿宋" w:eastAsia="仿宋" w:cs="仿宋"/>
          <w:kern w:val="0"/>
          <w:sz w:val="24"/>
        </w:rPr>
      </w:pPr>
    </w:p>
    <w:tbl>
      <w:tblPr>
        <w:tblStyle w:val="4"/>
        <w:tblW w:w="0" w:type="auto"/>
        <w:jc w:val="center"/>
        <w:tblLayout w:type="fixed"/>
        <w:tblCellMar>
          <w:top w:w="0" w:type="dxa"/>
          <w:left w:w="108" w:type="dxa"/>
          <w:bottom w:w="0" w:type="dxa"/>
          <w:right w:w="108" w:type="dxa"/>
        </w:tblCellMar>
      </w:tblPr>
      <w:tblGrid>
        <w:gridCol w:w="4643"/>
        <w:gridCol w:w="4643"/>
      </w:tblGrid>
      <w:tr w14:paraId="3E402608">
        <w:tblPrEx>
          <w:tblCellMar>
            <w:top w:w="0" w:type="dxa"/>
            <w:left w:w="108" w:type="dxa"/>
            <w:bottom w:w="0" w:type="dxa"/>
            <w:right w:w="108" w:type="dxa"/>
          </w:tblCellMar>
        </w:tblPrEx>
        <w:trPr>
          <w:jc w:val="center"/>
        </w:trPr>
        <w:tc>
          <w:tcPr>
            <w:tcW w:w="4643" w:type="dxa"/>
            <w:noWrap w:val="0"/>
            <w:vAlign w:val="top"/>
          </w:tcPr>
          <w:p w14:paraId="080F2ED7">
            <w:pPr>
              <w:widowControl/>
              <w:autoSpaceDE w:val="0"/>
              <w:autoSpaceDN w:val="0"/>
              <w:snapToGrid w:val="0"/>
              <w:spacing w:line="360" w:lineRule="auto"/>
              <w:ind w:right="-154"/>
              <w:textAlignment w:val="bottom"/>
              <w:rPr>
                <w:rFonts w:hint="eastAsia" w:ascii="仿宋" w:hAnsi="仿宋" w:eastAsia="仿宋" w:cs="仿宋"/>
                <w:kern w:val="0"/>
                <w:sz w:val="24"/>
              </w:rPr>
            </w:pPr>
            <w:r>
              <w:rPr>
                <w:rFonts w:hint="eastAsia" w:ascii="仿宋" w:hAnsi="仿宋" w:eastAsia="仿宋" w:cs="仿宋"/>
                <w:kern w:val="0"/>
                <w:sz w:val="24"/>
              </w:rPr>
              <w:t>甲方名称</w:t>
            </w:r>
            <w:r>
              <w:rPr>
                <w:rFonts w:hint="eastAsia" w:ascii="仿宋" w:hAnsi="仿宋" w:eastAsia="仿宋" w:cs="仿宋"/>
                <w:spacing w:val="-20"/>
                <w:kern w:val="0"/>
                <w:sz w:val="24"/>
              </w:rPr>
              <w:t>（盖章）</w:t>
            </w:r>
            <w:r>
              <w:rPr>
                <w:rFonts w:hint="eastAsia" w:ascii="仿宋" w:hAnsi="仿宋" w:eastAsia="仿宋" w:cs="仿宋"/>
                <w:kern w:val="0"/>
                <w:sz w:val="24"/>
              </w:rPr>
              <w:t>:</w:t>
            </w:r>
          </w:p>
          <w:p w14:paraId="738BDBC3">
            <w:pPr>
              <w:widowControl/>
              <w:autoSpaceDE w:val="0"/>
              <w:autoSpaceDN w:val="0"/>
              <w:snapToGrid w:val="0"/>
              <w:spacing w:line="360" w:lineRule="auto"/>
              <w:ind w:right="-154"/>
              <w:textAlignment w:val="bottom"/>
              <w:rPr>
                <w:rFonts w:hint="eastAsia" w:ascii="仿宋" w:hAnsi="仿宋" w:eastAsia="仿宋" w:cs="仿宋"/>
                <w:kern w:val="0"/>
                <w:sz w:val="24"/>
              </w:rPr>
            </w:pPr>
            <w:r>
              <w:rPr>
                <w:rFonts w:hint="eastAsia" w:ascii="仿宋" w:hAnsi="仿宋" w:eastAsia="仿宋" w:cs="仿宋"/>
                <w:kern w:val="0"/>
                <w:sz w:val="24"/>
              </w:rPr>
              <w:t>地址：</w:t>
            </w:r>
          </w:p>
          <w:p w14:paraId="28CB08B0">
            <w:pPr>
              <w:widowControl/>
              <w:autoSpaceDE w:val="0"/>
              <w:autoSpaceDN w:val="0"/>
              <w:snapToGrid w:val="0"/>
              <w:spacing w:line="360" w:lineRule="auto"/>
              <w:ind w:right="-154"/>
              <w:textAlignment w:val="bottom"/>
              <w:rPr>
                <w:rFonts w:hint="eastAsia" w:ascii="仿宋" w:hAnsi="仿宋" w:eastAsia="仿宋" w:cs="仿宋"/>
                <w:kern w:val="0"/>
                <w:sz w:val="24"/>
              </w:rPr>
            </w:pPr>
            <w:r>
              <w:rPr>
                <w:rFonts w:hint="eastAsia" w:ascii="仿宋" w:hAnsi="仿宋" w:eastAsia="仿宋" w:cs="仿宋"/>
                <w:kern w:val="0"/>
                <w:sz w:val="24"/>
              </w:rPr>
              <w:t>代表人（签字）：</w:t>
            </w:r>
          </w:p>
          <w:p w14:paraId="15DBCFDD">
            <w:pPr>
              <w:widowControl/>
              <w:autoSpaceDE w:val="0"/>
              <w:autoSpaceDN w:val="0"/>
              <w:snapToGrid w:val="0"/>
              <w:spacing w:line="360" w:lineRule="auto"/>
              <w:ind w:right="-154"/>
              <w:textAlignment w:val="bottom"/>
              <w:rPr>
                <w:rFonts w:hint="eastAsia" w:ascii="仿宋" w:hAnsi="仿宋" w:eastAsia="仿宋" w:cs="仿宋"/>
                <w:kern w:val="0"/>
                <w:sz w:val="24"/>
              </w:rPr>
            </w:pPr>
            <w:r>
              <w:rPr>
                <w:rFonts w:hint="eastAsia" w:ascii="仿宋" w:hAnsi="仿宋" w:eastAsia="仿宋" w:cs="仿宋"/>
                <w:kern w:val="0"/>
                <w:sz w:val="24"/>
              </w:rPr>
              <w:t>电话：</w:t>
            </w:r>
          </w:p>
          <w:p w14:paraId="7A264691">
            <w:pPr>
              <w:widowControl/>
              <w:autoSpaceDE w:val="0"/>
              <w:autoSpaceDN w:val="0"/>
              <w:snapToGrid w:val="0"/>
              <w:spacing w:line="360" w:lineRule="auto"/>
              <w:ind w:right="-154"/>
              <w:textAlignment w:val="bottom"/>
              <w:rPr>
                <w:rFonts w:hint="eastAsia" w:ascii="仿宋" w:hAnsi="仿宋" w:eastAsia="仿宋" w:cs="仿宋"/>
                <w:kern w:val="0"/>
                <w:sz w:val="24"/>
              </w:rPr>
            </w:pPr>
            <w:r>
              <w:rPr>
                <w:rFonts w:hint="eastAsia" w:ascii="仿宋" w:hAnsi="仿宋" w:eastAsia="仿宋" w:cs="仿宋"/>
                <w:kern w:val="0"/>
                <w:sz w:val="24"/>
              </w:rPr>
              <w:t>开户银行：</w:t>
            </w:r>
          </w:p>
          <w:p w14:paraId="3E2A64E2">
            <w:pPr>
              <w:widowControl/>
              <w:autoSpaceDE w:val="0"/>
              <w:autoSpaceDN w:val="0"/>
              <w:snapToGrid w:val="0"/>
              <w:spacing w:line="360" w:lineRule="auto"/>
              <w:ind w:right="-154"/>
              <w:textAlignment w:val="bottom"/>
              <w:rPr>
                <w:rFonts w:hint="eastAsia" w:ascii="仿宋" w:hAnsi="仿宋" w:eastAsia="仿宋" w:cs="仿宋"/>
                <w:kern w:val="0"/>
                <w:sz w:val="24"/>
              </w:rPr>
            </w:pPr>
            <w:r>
              <w:rPr>
                <w:rFonts w:hint="eastAsia" w:ascii="仿宋" w:hAnsi="仿宋" w:eastAsia="仿宋" w:cs="仿宋"/>
                <w:kern w:val="0"/>
                <w:sz w:val="24"/>
              </w:rPr>
              <w:t>账号：</w:t>
            </w:r>
          </w:p>
        </w:tc>
        <w:tc>
          <w:tcPr>
            <w:tcW w:w="4643" w:type="dxa"/>
            <w:noWrap w:val="0"/>
            <w:vAlign w:val="top"/>
          </w:tcPr>
          <w:p w14:paraId="140B37FE">
            <w:pPr>
              <w:widowControl/>
              <w:autoSpaceDE w:val="0"/>
              <w:autoSpaceDN w:val="0"/>
              <w:snapToGrid w:val="0"/>
              <w:spacing w:line="360" w:lineRule="auto"/>
              <w:ind w:right="-154"/>
              <w:textAlignment w:val="bottom"/>
              <w:rPr>
                <w:rFonts w:hint="eastAsia" w:ascii="仿宋" w:hAnsi="仿宋" w:eastAsia="仿宋" w:cs="仿宋"/>
                <w:kern w:val="0"/>
                <w:sz w:val="24"/>
              </w:rPr>
            </w:pPr>
            <w:r>
              <w:rPr>
                <w:rFonts w:hint="eastAsia" w:ascii="仿宋" w:hAnsi="仿宋" w:eastAsia="仿宋" w:cs="仿宋"/>
                <w:kern w:val="0"/>
                <w:sz w:val="24"/>
              </w:rPr>
              <w:t>乙方名称</w:t>
            </w:r>
            <w:r>
              <w:rPr>
                <w:rFonts w:hint="eastAsia" w:ascii="仿宋" w:hAnsi="仿宋" w:eastAsia="仿宋" w:cs="仿宋"/>
                <w:spacing w:val="-20"/>
                <w:kern w:val="0"/>
                <w:sz w:val="24"/>
              </w:rPr>
              <w:t>（盖章）</w:t>
            </w:r>
            <w:r>
              <w:rPr>
                <w:rFonts w:hint="eastAsia" w:ascii="仿宋" w:hAnsi="仿宋" w:eastAsia="仿宋" w:cs="仿宋"/>
                <w:kern w:val="0"/>
                <w:sz w:val="24"/>
              </w:rPr>
              <w:t>:</w:t>
            </w:r>
          </w:p>
          <w:p w14:paraId="4142DDEA">
            <w:pPr>
              <w:widowControl/>
              <w:autoSpaceDE w:val="0"/>
              <w:autoSpaceDN w:val="0"/>
              <w:snapToGrid w:val="0"/>
              <w:spacing w:line="360" w:lineRule="auto"/>
              <w:ind w:right="-154"/>
              <w:textAlignment w:val="bottom"/>
              <w:rPr>
                <w:rFonts w:hint="eastAsia" w:ascii="仿宋" w:hAnsi="仿宋" w:eastAsia="仿宋" w:cs="仿宋"/>
                <w:kern w:val="0"/>
                <w:sz w:val="24"/>
              </w:rPr>
            </w:pPr>
            <w:r>
              <w:rPr>
                <w:rFonts w:hint="eastAsia" w:ascii="仿宋" w:hAnsi="仿宋" w:eastAsia="仿宋" w:cs="仿宋"/>
                <w:kern w:val="0"/>
                <w:sz w:val="24"/>
              </w:rPr>
              <w:t>地址：</w:t>
            </w:r>
          </w:p>
          <w:p w14:paraId="5AD37973">
            <w:pPr>
              <w:widowControl/>
              <w:autoSpaceDE w:val="0"/>
              <w:autoSpaceDN w:val="0"/>
              <w:snapToGrid w:val="0"/>
              <w:spacing w:line="360" w:lineRule="auto"/>
              <w:ind w:right="-154"/>
              <w:textAlignment w:val="bottom"/>
              <w:rPr>
                <w:rFonts w:hint="eastAsia" w:ascii="仿宋" w:hAnsi="仿宋" w:eastAsia="仿宋" w:cs="仿宋"/>
                <w:kern w:val="0"/>
                <w:sz w:val="24"/>
              </w:rPr>
            </w:pPr>
            <w:r>
              <w:rPr>
                <w:rFonts w:hint="eastAsia" w:ascii="仿宋" w:hAnsi="仿宋" w:eastAsia="仿宋" w:cs="仿宋"/>
                <w:kern w:val="0"/>
                <w:sz w:val="24"/>
              </w:rPr>
              <w:t>代表人（签字）：</w:t>
            </w:r>
          </w:p>
          <w:p w14:paraId="252AD664">
            <w:pPr>
              <w:widowControl/>
              <w:autoSpaceDE w:val="0"/>
              <w:autoSpaceDN w:val="0"/>
              <w:snapToGrid w:val="0"/>
              <w:spacing w:line="360" w:lineRule="auto"/>
              <w:ind w:right="-154"/>
              <w:textAlignment w:val="bottom"/>
              <w:rPr>
                <w:rFonts w:hint="eastAsia" w:ascii="仿宋" w:hAnsi="仿宋" w:eastAsia="仿宋" w:cs="仿宋"/>
                <w:kern w:val="0"/>
                <w:sz w:val="24"/>
              </w:rPr>
            </w:pPr>
            <w:r>
              <w:rPr>
                <w:rFonts w:hint="eastAsia" w:ascii="仿宋" w:hAnsi="仿宋" w:eastAsia="仿宋" w:cs="仿宋"/>
                <w:kern w:val="0"/>
                <w:sz w:val="24"/>
              </w:rPr>
              <w:t>电话：</w:t>
            </w:r>
          </w:p>
          <w:p w14:paraId="2963DC24">
            <w:pPr>
              <w:widowControl/>
              <w:autoSpaceDE w:val="0"/>
              <w:autoSpaceDN w:val="0"/>
              <w:snapToGrid w:val="0"/>
              <w:spacing w:line="360" w:lineRule="auto"/>
              <w:ind w:right="-154"/>
              <w:textAlignment w:val="bottom"/>
              <w:rPr>
                <w:rFonts w:hint="eastAsia" w:ascii="仿宋" w:hAnsi="仿宋" w:eastAsia="仿宋" w:cs="仿宋"/>
                <w:kern w:val="0"/>
                <w:sz w:val="24"/>
              </w:rPr>
            </w:pPr>
            <w:r>
              <w:rPr>
                <w:rFonts w:hint="eastAsia" w:ascii="仿宋" w:hAnsi="仿宋" w:eastAsia="仿宋" w:cs="仿宋"/>
                <w:kern w:val="0"/>
                <w:sz w:val="24"/>
              </w:rPr>
              <w:t>开户银行：</w:t>
            </w:r>
          </w:p>
          <w:p w14:paraId="7A2AC2D8">
            <w:pPr>
              <w:widowControl/>
              <w:autoSpaceDE w:val="0"/>
              <w:autoSpaceDN w:val="0"/>
              <w:snapToGrid w:val="0"/>
              <w:spacing w:line="360" w:lineRule="auto"/>
              <w:ind w:right="-154"/>
              <w:textAlignment w:val="bottom"/>
              <w:rPr>
                <w:rFonts w:hint="eastAsia" w:ascii="仿宋" w:hAnsi="仿宋" w:eastAsia="仿宋" w:cs="仿宋"/>
                <w:kern w:val="0"/>
                <w:sz w:val="24"/>
              </w:rPr>
            </w:pPr>
            <w:r>
              <w:rPr>
                <w:rFonts w:hint="eastAsia" w:ascii="仿宋" w:hAnsi="仿宋" w:eastAsia="仿宋" w:cs="仿宋"/>
                <w:kern w:val="0"/>
                <w:sz w:val="24"/>
              </w:rPr>
              <w:t>账号：</w:t>
            </w:r>
          </w:p>
        </w:tc>
      </w:tr>
    </w:tbl>
    <w:p w14:paraId="703690C4">
      <w:pPr>
        <w:sectPr>
          <w:pgSz w:w="11906" w:h="16838"/>
          <w:pgMar w:top="1440" w:right="1800" w:bottom="1440" w:left="1800" w:header="851" w:footer="992" w:gutter="0"/>
          <w:cols w:space="425" w:num="1"/>
          <w:docGrid w:type="lines" w:linePitch="312" w:charSpace="0"/>
        </w:sectPr>
      </w:pPr>
    </w:p>
    <w:p w14:paraId="67C9F851">
      <w:pPr>
        <w:spacing w:line="360" w:lineRule="auto"/>
        <w:rPr>
          <w:rFonts w:hint="eastAsia" w:ascii="仿宋" w:hAnsi="仿宋" w:eastAsia="仿宋" w:cs="仿宋"/>
          <w:sz w:val="24"/>
        </w:rPr>
      </w:pPr>
      <w:r>
        <w:rPr>
          <w:rFonts w:hint="eastAsia" w:ascii="仿宋" w:hAnsi="仿宋" w:eastAsia="仿宋" w:cs="仿宋"/>
          <w:sz w:val="24"/>
        </w:rPr>
        <w:t>合同附件：</w:t>
      </w:r>
    </w:p>
    <w:tbl>
      <w:tblPr>
        <w:tblStyle w:val="4"/>
        <w:tblW w:w="5000" w:type="pct"/>
        <w:tblInd w:w="0" w:type="dxa"/>
        <w:tblLayout w:type="autofit"/>
        <w:tblCellMar>
          <w:top w:w="0" w:type="dxa"/>
          <w:left w:w="108" w:type="dxa"/>
          <w:bottom w:w="0" w:type="dxa"/>
          <w:right w:w="108" w:type="dxa"/>
        </w:tblCellMar>
      </w:tblPr>
      <w:tblGrid>
        <w:gridCol w:w="1571"/>
        <w:gridCol w:w="2299"/>
        <w:gridCol w:w="2524"/>
        <w:gridCol w:w="2128"/>
      </w:tblGrid>
      <w:tr w14:paraId="0BA1F11A">
        <w:tblPrEx>
          <w:tblCellMar>
            <w:top w:w="0" w:type="dxa"/>
            <w:left w:w="108" w:type="dxa"/>
            <w:bottom w:w="0" w:type="dxa"/>
            <w:right w:w="108" w:type="dxa"/>
          </w:tblCellMar>
        </w:tblPrEx>
        <w:trPr>
          <w:trHeight w:val="900" w:hRule="atLeast"/>
        </w:trPr>
        <w:tc>
          <w:tcPr>
            <w:tcW w:w="5000" w:type="pct"/>
            <w:gridSpan w:val="4"/>
            <w:tcBorders>
              <w:top w:val="nil"/>
              <w:left w:val="nil"/>
              <w:bottom w:val="nil"/>
              <w:right w:val="nil"/>
            </w:tcBorders>
            <w:noWrap/>
            <w:vAlign w:val="center"/>
          </w:tcPr>
          <w:p w14:paraId="54C9CD89">
            <w:pPr>
              <w:widowControl/>
              <w:jc w:val="center"/>
              <w:rPr>
                <w:b/>
                <w:bCs/>
                <w:kern w:val="0"/>
                <w:sz w:val="32"/>
                <w:szCs w:val="32"/>
              </w:rPr>
            </w:pPr>
            <w:r>
              <w:rPr>
                <w:rFonts w:eastAsia="方正小标宋简体"/>
                <w:kern w:val="0"/>
                <w:sz w:val="28"/>
                <w:szCs w:val="28"/>
              </w:rPr>
              <w:t>政府采购项目货物（服务）验收入库报告单</w:t>
            </w:r>
          </w:p>
        </w:tc>
      </w:tr>
      <w:tr w14:paraId="2B8E552B">
        <w:tblPrEx>
          <w:tblCellMar>
            <w:top w:w="0" w:type="dxa"/>
            <w:left w:w="108" w:type="dxa"/>
            <w:bottom w:w="0" w:type="dxa"/>
            <w:right w:w="108" w:type="dxa"/>
          </w:tblCellMar>
        </w:tblPrEx>
        <w:trPr>
          <w:trHeight w:val="540" w:hRule="atLeast"/>
        </w:trPr>
        <w:tc>
          <w:tcPr>
            <w:tcW w:w="922" w:type="pct"/>
            <w:tcBorders>
              <w:top w:val="single" w:color="auto" w:sz="8" w:space="0"/>
              <w:left w:val="single" w:color="auto" w:sz="8" w:space="0"/>
              <w:bottom w:val="single" w:color="auto" w:sz="4" w:space="0"/>
              <w:right w:val="single" w:color="auto" w:sz="4" w:space="0"/>
            </w:tcBorders>
            <w:noWrap/>
            <w:vAlign w:val="center"/>
          </w:tcPr>
          <w:p w14:paraId="0EA3B491">
            <w:pPr>
              <w:widowControl/>
              <w:jc w:val="center"/>
              <w:rPr>
                <w:rFonts w:hint="eastAsia" w:ascii="仿宋" w:hAnsi="仿宋" w:eastAsia="仿宋" w:cs="仿宋"/>
                <w:kern w:val="0"/>
                <w:sz w:val="24"/>
              </w:rPr>
            </w:pPr>
            <w:r>
              <w:rPr>
                <w:rFonts w:hint="eastAsia" w:ascii="仿宋" w:hAnsi="仿宋" w:eastAsia="仿宋" w:cs="仿宋"/>
                <w:kern w:val="0"/>
                <w:sz w:val="24"/>
              </w:rPr>
              <w:t>采购单位</w:t>
            </w:r>
          </w:p>
        </w:tc>
        <w:tc>
          <w:tcPr>
            <w:tcW w:w="4078" w:type="pct"/>
            <w:gridSpan w:val="3"/>
            <w:tcBorders>
              <w:top w:val="single" w:color="auto" w:sz="8" w:space="0"/>
              <w:left w:val="nil"/>
              <w:bottom w:val="single" w:color="auto" w:sz="4" w:space="0"/>
              <w:right w:val="single" w:color="000000" w:sz="8" w:space="0"/>
            </w:tcBorders>
            <w:noWrap/>
            <w:vAlign w:val="center"/>
          </w:tcPr>
          <w:p w14:paraId="2204186D">
            <w:pPr>
              <w:widowControl/>
              <w:jc w:val="center"/>
              <w:rPr>
                <w:rFonts w:hint="eastAsia" w:ascii="仿宋" w:hAnsi="仿宋" w:eastAsia="仿宋" w:cs="仿宋"/>
                <w:kern w:val="0"/>
                <w:sz w:val="24"/>
              </w:rPr>
            </w:pPr>
            <w:r>
              <w:rPr>
                <w:rFonts w:hint="eastAsia" w:ascii="仿宋" w:hAnsi="仿宋" w:eastAsia="仿宋" w:cs="仿宋"/>
                <w:kern w:val="0"/>
                <w:sz w:val="24"/>
              </w:rPr>
              <w:t>　</w:t>
            </w:r>
          </w:p>
        </w:tc>
      </w:tr>
      <w:tr w14:paraId="450A4999">
        <w:tblPrEx>
          <w:tblCellMar>
            <w:top w:w="0" w:type="dxa"/>
            <w:left w:w="108" w:type="dxa"/>
            <w:bottom w:w="0" w:type="dxa"/>
            <w:right w:w="108" w:type="dxa"/>
          </w:tblCellMar>
        </w:tblPrEx>
        <w:trPr>
          <w:trHeight w:val="540" w:hRule="atLeast"/>
        </w:trPr>
        <w:tc>
          <w:tcPr>
            <w:tcW w:w="922" w:type="pct"/>
            <w:tcBorders>
              <w:top w:val="nil"/>
              <w:left w:val="single" w:color="auto" w:sz="8" w:space="0"/>
              <w:bottom w:val="single" w:color="auto" w:sz="4" w:space="0"/>
              <w:right w:val="single" w:color="auto" w:sz="4" w:space="0"/>
            </w:tcBorders>
            <w:noWrap/>
            <w:vAlign w:val="center"/>
          </w:tcPr>
          <w:p w14:paraId="4F500D1A">
            <w:pPr>
              <w:widowControl/>
              <w:jc w:val="center"/>
              <w:rPr>
                <w:rFonts w:hint="eastAsia" w:ascii="仿宋" w:hAnsi="仿宋" w:eastAsia="仿宋" w:cs="仿宋"/>
                <w:kern w:val="0"/>
                <w:sz w:val="24"/>
              </w:rPr>
            </w:pPr>
            <w:r>
              <w:rPr>
                <w:rFonts w:hint="eastAsia" w:ascii="仿宋" w:hAnsi="仿宋" w:eastAsia="仿宋" w:cs="仿宋"/>
                <w:kern w:val="0"/>
                <w:sz w:val="24"/>
              </w:rPr>
              <w:t>采购项目</w:t>
            </w:r>
          </w:p>
        </w:tc>
        <w:tc>
          <w:tcPr>
            <w:tcW w:w="4078" w:type="pct"/>
            <w:gridSpan w:val="3"/>
            <w:tcBorders>
              <w:top w:val="single" w:color="auto" w:sz="4" w:space="0"/>
              <w:left w:val="nil"/>
              <w:bottom w:val="single" w:color="auto" w:sz="4" w:space="0"/>
              <w:right w:val="single" w:color="000000" w:sz="8" w:space="0"/>
            </w:tcBorders>
            <w:noWrap/>
            <w:vAlign w:val="center"/>
          </w:tcPr>
          <w:p w14:paraId="5AA8D2AF">
            <w:pPr>
              <w:widowControl/>
              <w:jc w:val="center"/>
              <w:rPr>
                <w:rFonts w:hint="eastAsia" w:ascii="仿宋" w:hAnsi="仿宋" w:eastAsia="仿宋" w:cs="仿宋"/>
                <w:kern w:val="0"/>
                <w:sz w:val="24"/>
              </w:rPr>
            </w:pPr>
            <w:r>
              <w:rPr>
                <w:rFonts w:hint="eastAsia" w:ascii="仿宋" w:hAnsi="仿宋" w:eastAsia="仿宋" w:cs="仿宋"/>
                <w:kern w:val="0"/>
                <w:sz w:val="24"/>
              </w:rPr>
              <w:t>　</w:t>
            </w:r>
          </w:p>
        </w:tc>
      </w:tr>
      <w:tr w14:paraId="71DF64D9">
        <w:tblPrEx>
          <w:tblCellMar>
            <w:top w:w="0" w:type="dxa"/>
            <w:left w:w="108" w:type="dxa"/>
            <w:bottom w:w="0" w:type="dxa"/>
            <w:right w:w="108" w:type="dxa"/>
          </w:tblCellMar>
        </w:tblPrEx>
        <w:trPr>
          <w:trHeight w:val="540" w:hRule="atLeast"/>
        </w:trPr>
        <w:tc>
          <w:tcPr>
            <w:tcW w:w="922" w:type="pct"/>
            <w:vMerge w:val="restart"/>
            <w:tcBorders>
              <w:top w:val="nil"/>
              <w:left w:val="single" w:color="auto" w:sz="8" w:space="0"/>
              <w:bottom w:val="single" w:color="auto" w:sz="4" w:space="0"/>
              <w:right w:val="single" w:color="auto" w:sz="4" w:space="0"/>
            </w:tcBorders>
            <w:noWrap/>
            <w:vAlign w:val="center"/>
          </w:tcPr>
          <w:p w14:paraId="4ADACAAE">
            <w:pPr>
              <w:widowControl/>
              <w:jc w:val="center"/>
              <w:rPr>
                <w:rFonts w:hint="eastAsia" w:ascii="仿宋" w:hAnsi="仿宋" w:eastAsia="仿宋" w:cs="仿宋"/>
                <w:kern w:val="0"/>
                <w:sz w:val="24"/>
              </w:rPr>
            </w:pPr>
            <w:r>
              <w:rPr>
                <w:rFonts w:hint="eastAsia" w:ascii="仿宋" w:hAnsi="仿宋" w:eastAsia="仿宋" w:cs="仿宋"/>
                <w:kern w:val="0"/>
                <w:sz w:val="24"/>
              </w:rPr>
              <w:t>项目编号</w:t>
            </w:r>
          </w:p>
        </w:tc>
        <w:tc>
          <w:tcPr>
            <w:tcW w:w="1349" w:type="pct"/>
            <w:vMerge w:val="restart"/>
            <w:tcBorders>
              <w:top w:val="nil"/>
              <w:left w:val="single" w:color="auto" w:sz="4" w:space="0"/>
              <w:bottom w:val="single" w:color="auto" w:sz="4" w:space="0"/>
              <w:right w:val="single" w:color="auto" w:sz="4" w:space="0"/>
            </w:tcBorders>
            <w:noWrap/>
            <w:vAlign w:val="center"/>
          </w:tcPr>
          <w:p w14:paraId="5B34D570">
            <w:pPr>
              <w:widowControl/>
              <w:jc w:val="center"/>
              <w:rPr>
                <w:rFonts w:hint="eastAsia" w:ascii="仿宋" w:hAnsi="仿宋" w:eastAsia="仿宋" w:cs="仿宋"/>
                <w:kern w:val="0"/>
                <w:sz w:val="24"/>
              </w:rPr>
            </w:pPr>
            <w:r>
              <w:rPr>
                <w:rFonts w:hint="eastAsia" w:ascii="仿宋" w:hAnsi="仿宋" w:eastAsia="仿宋" w:cs="仿宋"/>
                <w:kern w:val="0"/>
                <w:sz w:val="24"/>
              </w:rPr>
              <w:t>　</w:t>
            </w:r>
          </w:p>
        </w:tc>
        <w:tc>
          <w:tcPr>
            <w:tcW w:w="1481" w:type="pct"/>
            <w:tcBorders>
              <w:top w:val="nil"/>
              <w:left w:val="nil"/>
              <w:bottom w:val="single" w:color="auto" w:sz="4" w:space="0"/>
              <w:right w:val="single" w:color="auto" w:sz="4" w:space="0"/>
            </w:tcBorders>
            <w:noWrap/>
            <w:vAlign w:val="center"/>
          </w:tcPr>
          <w:p w14:paraId="311E615F">
            <w:pPr>
              <w:widowControl/>
              <w:jc w:val="center"/>
              <w:rPr>
                <w:rFonts w:hint="eastAsia" w:ascii="仿宋" w:hAnsi="仿宋" w:eastAsia="仿宋" w:cs="仿宋"/>
                <w:kern w:val="0"/>
                <w:sz w:val="24"/>
              </w:rPr>
            </w:pPr>
            <w:r>
              <w:rPr>
                <w:rFonts w:hint="eastAsia" w:ascii="仿宋" w:hAnsi="仿宋" w:eastAsia="仿宋" w:cs="仿宋"/>
                <w:kern w:val="0"/>
                <w:sz w:val="24"/>
              </w:rPr>
              <w:t>合同金额</w:t>
            </w:r>
          </w:p>
        </w:tc>
        <w:tc>
          <w:tcPr>
            <w:tcW w:w="1248" w:type="pct"/>
            <w:tcBorders>
              <w:top w:val="nil"/>
              <w:left w:val="nil"/>
              <w:bottom w:val="single" w:color="auto" w:sz="4" w:space="0"/>
              <w:right w:val="single" w:color="auto" w:sz="8" w:space="0"/>
            </w:tcBorders>
            <w:noWrap/>
            <w:vAlign w:val="center"/>
          </w:tcPr>
          <w:p w14:paraId="27E2AF25">
            <w:pPr>
              <w:widowControl/>
              <w:jc w:val="left"/>
              <w:rPr>
                <w:rFonts w:hint="eastAsia" w:ascii="仿宋" w:hAnsi="仿宋" w:eastAsia="仿宋" w:cs="仿宋"/>
                <w:kern w:val="0"/>
                <w:sz w:val="24"/>
              </w:rPr>
            </w:pPr>
            <w:r>
              <w:rPr>
                <w:rFonts w:hint="eastAsia" w:ascii="仿宋" w:hAnsi="仿宋" w:eastAsia="仿宋" w:cs="仿宋"/>
                <w:kern w:val="0"/>
                <w:sz w:val="24"/>
              </w:rPr>
              <w:t>¥:</w:t>
            </w:r>
          </w:p>
        </w:tc>
      </w:tr>
      <w:tr w14:paraId="39C6C4BB">
        <w:tblPrEx>
          <w:tblCellMar>
            <w:top w:w="0" w:type="dxa"/>
            <w:left w:w="108" w:type="dxa"/>
            <w:bottom w:w="0" w:type="dxa"/>
            <w:right w:w="108" w:type="dxa"/>
          </w:tblCellMar>
        </w:tblPrEx>
        <w:trPr>
          <w:trHeight w:val="540" w:hRule="atLeast"/>
        </w:trPr>
        <w:tc>
          <w:tcPr>
            <w:tcW w:w="922" w:type="pct"/>
            <w:vMerge w:val="continue"/>
            <w:tcBorders>
              <w:top w:val="nil"/>
              <w:left w:val="single" w:color="auto" w:sz="8" w:space="0"/>
              <w:bottom w:val="single" w:color="auto" w:sz="4" w:space="0"/>
              <w:right w:val="single" w:color="auto" w:sz="4" w:space="0"/>
            </w:tcBorders>
            <w:noWrap w:val="0"/>
            <w:vAlign w:val="center"/>
          </w:tcPr>
          <w:p w14:paraId="23446B41">
            <w:pPr>
              <w:widowControl/>
              <w:jc w:val="left"/>
              <w:rPr>
                <w:rFonts w:hint="eastAsia" w:ascii="仿宋" w:hAnsi="仿宋" w:eastAsia="仿宋" w:cs="仿宋"/>
                <w:kern w:val="0"/>
                <w:sz w:val="24"/>
              </w:rPr>
            </w:pPr>
          </w:p>
        </w:tc>
        <w:tc>
          <w:tcPr>
            <w:tcW w:w="1349" w:type="pct"/>
            <w:vMerge w:val="continue"/>
            <w:tcBorders>
              <w:top w:val="nil"/>
              <w:left w:val="single" w:color="auto" w:sz="4" w:space="0"/>
              <w:bottom w:val="single" w:color="auto" w:sz="4" w:space="0"/>
              <w:right w:val="single" w:color="auto" w:sz="4" w:space="0"/>
            </w:tcBorders>
            <w:noWrap w:val="0"/>
            <w:vAlign w:val="center"/>
          </w:tcPr>
          <w:p w14:paraId="73155244">
            <w:pPr>
              <w:widowControl/>
              <w:jc w:val="left"/>
              <w:rPr>
                <w:rFonts w:hint="eastAsia" w:ascii="仿宋" w:hAnsi="仿宋" w:eastAsia="仿宋" w:cs="仿宋"/>
                <w:kern w:val="0"/>
                <w:sz w:val="24"/>
              </w:rPr>
            </w:pPr>
          </w:p>
        </w:tc>
        <w:tc>
          <w:tcPr>
            <w:tcW w:w="1481" w:type="pct"/>
            <w:tcBorders>
              <w:top w:val="nil"/>
              <w:left w:val="nil"/>
              <w:bottom w:val="single" w:color="auto" w:sz="4" w:space="0"/>
              <w:right w:val="single" w:color="auto" w:sz="4" w:space="0"/>
            </w:tcBorders>
            <w:noWrap/>
            <w:vAlign w:val="center"/>
          </w:tcPr>
          <w:p w14:paraId="37249D9F">
            <w:pPr>
              <w:widowControl/>
              <w:jc w:val="center"/>
              <w:rPr>
                <w:rFonts w:hint="eastAsia" w:ascii="仿宋" w:hAnsi="仿宋" w:eastAsia="仿宋" w:cs="仿宋"/>
                <w:kern w:val="0"/>
                <w:sz w:val="24"/>
              </w:rPr>
            </w:pPr>
            <w:r>
              <w:rPr>
                <w:rFonts w:hint="eastAsia" w:ascii="仿宋" w:hAnsi="仿宋" w:eastAsia="仿宋" w:cs="仿宋"/>
                <w:kern w:val="0"/>
                <w:sz w:val="24"/>
              </w:rPr>
              <w:t>验收时间/地点</w:t>
            </w:r>
          </w:p>
        </w:tc>
        <w:tc>
          <w:tcPr>
            <w:tcW w:w="1248" w:type="pct"/>
            <w:tcBorders>
              <w:top w:val="nil"/>
              <w:left w:val="nil"/>
              <w:bottom w:val="single" w:color="auto" w:sz="4" w:space="0"/>
              <w:right w:val="single" w:color="auto" w:sz="8" w:space="0"/>
            </w:tcBorders>
            <w:noWrap/>
            <w:vAlign w:val="center"/>
          </w:tcPr>
          <w:p w14:paraId="716950AD">
            <w:pPr>
              <w:widowControl/>
              <w:jc w:val="center"/>
              <w:rPr>
                <w:rFonts w:hint="eastAsia" w:ascii="仿宋" w:hAnsi="仿宋" w:eastAsia="仿宋" w:cs="仿宋"/>
                <w:kern w:val="0"/>
                <w:sz w:val="24"/>
              </w:rPr>
            </w:pPr>
            <w:r>
              <w:rPr>
                <w:rFonts w:hint="eastAsia" w:ascii="仿宋" w:hAnsi="仿宋" w:eastAsia="仿宋" w:cs="仿宋"/>
                <w:kern w:val="0"/>
                <w:sz w:val="24"/>
              </w:rPr>
              <w:t>　</w:t>
            </w:r>
          </w:p>
        </w:tc>
      </w:tr>
      <w:tr w14:paraId="06E268CB">
        <w:tblPrEx>
          <w:tblCellMar>
            <w:top w:w="0" w:type="dxa"/>
            <w:left w:w="108" w:type="dxa"/>
            <w:bottom w:w="0" w:type="dxa"/>
            <w:right w:w="108" w:type="dxa"/>
          </w:tblCellMar>
        </w:tblPrEx>
        <w:trPr>
          <w:trHeight w:val="471" w:hRule="atLeast"/>
        </w:trPr>
        <w:tc>
          <w:tcPr>
            <w:tcW w:w="922" w:type="pct"/>
            <w:tcBorders>
              <w:top w:val="nil"/>
              <w:left w:val="single" w:color="auto" w:sz="8" w:space="0"/>
              <w:bottom w:val="single" w:color="auto" w:sz="4" w:space="0"/>
              <w:right w:val="single" w:color="auto" w:sz="4" w:space="0"/>
            </w:tcBorders>
            <w:noWrap/>
            <w:vAlign w:val="center"/>
          </w:tcPr>
          <w:p w14:paraId="39108682">
            <w:pPr>
              <w:widowControl/>
              <w:jc w:val="center"/>
              <w:rPr>
                <w:rFonts w:hint="eastAsia" w:ascii="仿宋" w:hAnsi="仿宋" w:eastAsia="仿宋" w:cs="仿宋"/>
                <w:kern w:val="0"/>
                <w:sz w:val="24"/>
              </w:rPr>
            </w:pPr>
            <w:r>
              <w:rPr>
                <w:rFonts w:hint="eastAsia" w:ascii="仿宋" w:hAnsi="仿宋" w:eastAsia="仿宋" w:cs="仿宋"/>
                <w:kern w:val="0"/>
                <w:sz w:val="24"/>
              </w:rPr>
              <w:t>供货单位</w:t>
            </w:r>
          </w:p>
        </w:tc>
        <w:tc>
          <w:tcPr>
            <w:tcW w:w="4078" w:type="pct"/>
            <w:gridSpan w:val="3"/>
            <w:tcBorders>
              <w:top w:val="single" w:color="auto" w:sz="4" w:space="0"/>
              <w:left w:val="nil"/>
              <w:bottom w:val="single" w:color="auto" w:sz="4" w:space="0"/>
              <w:right w:val="single" w:color="000000" w:sz="8" w:space="0"/>
            </w:tcBorders>
            <w:noWrap/>
            <w:vAlign w:val="center"/>
          </w:tcPr>
          <w:p w14:paraId="3343BB20">
            <w:pPr>
              <w:widowControl/>
              <w:jc w:val="center"/>
              <w:rPr>
                <w:rFonts w:hint="eastAsia" w:ascii="仿宋" w:hAnsi="仿宋" w:eastAsia="仿宋" w:cs="仿宋"/>
                <w:kern w:val="0"/>
                <w:sz w:val="24"/>
              </w:rPr>
            </w:pPr>
            <w:r>
              <w:rPr>
                <w:rFonts w:hint="eastAsia" w:ascii="仿宋" w:hAnsi="仿宋" w:eastAsia="仿宋" w:cs="仿宋"/>
                <w:kern w:val="0"/>
                <w:sz w:val="24"/>
              </w:rPr>
              <w:t>　</w:t>
            </w:r>
          </w:p>
        </w:tc>
      </w:tr>
      <w:tr w14:paraId="6576CDA6">
        <w:tblPrEx>
          <w:tblCellMar>
            <w:top w:w="0" w:type="dxa"/>
            <w:left w:w="108" w:type="dxa"/>
            <w:bottom w:w="0" w:type="dxa"/>
            <w:right w:w="108" w:type="dxa"/>
          </w:tblCellMar>
        </w:tblPrEx>
        <w:trPr>
          <w:trHeight w:val="540" w:hRule="atLeast"/>
        </w:trPr>
        <w:tc>
          <w:tcPr>
            <w:tcW w:w="922" w:type="pct"/>
            <w:tcBorders>
              <w:top w:val="nil"/>
              <w:left w:val="single" w:color="auto" w:sz="8" w:space="0"/>
              <w:bottom w:val="single" w:color="auto" w:sz="4" w:space="0"/>
              <w:right w:val="single" w:color="auto" w:sz="4" w:space="0"/>
            </w:tcBorders>
            <w:noWrap/>
            <w:vAlign w:val="center"/>
          </w:tcPr>
          <w:p w14:paraId="6204454F">
            <w:pPr>
              <w:widowControl/>
              <w:jc w:val="center"/>
              <w:rPr>
                <w:rFonts w:hint="eastAsia" w:ascii="仿宋" w:hAnsi="仿宋" w:eastAsia="仿宋" w:cs="仿宋"/>
                <w:kern w:val="0"/>
                <w:sz w:val="24"/>
              </w:rPr>
            </w:pPr>
            <w:r>
              <w:rPr>
                <w:rFonts w:hint="eastAsia" w:ascii="仿宋" w:hAnsi="仿宋" w:eastAsia="仿宋" w:cs="仿宋"/>
                <w:kern w:val="0"/>
                <w:sz w:val="24"/>
              </w:rPr>
              <w:t>开户行</w:t>
            </w:r>
          </w:p>
        </w:tc>
        <w:tc>
          <w:tcPr>
            <w:tcW w:w="1349" w:type="pct"/>
            <w:tcBorders>
              <w:top w:val="nil"/>
              <w:left w:val="nil"/>
              <w:bottom w:val="single" w:color="auto" w:sz="4" w:space="0"/>
              <w:right w:val="single" w:color="auto" w:sz="4" w:space="0"/>
            </w:tcBorders>
            <w:noWrap/>
            <w:vAlign w:val="center"/>
          </w:tcPr>
          <w:p w14:paraId="4F5F1F74">
            <w:pPr>
              <w:widowControl/>
              <w:jc w:val="center"/>
              <w:rPr>
                <w:rFonts w:hint="eastAsia" w:ascii="仿宋" w:hAnsi="仿宋" w:eastAsia="仿宋" w:cs="仿宋"/>
                <w:kern w:val="0"/>
                <w:sz w:val="24"/>
              </w:rPr>
            </w:pPr>
            <w:r>
              <w:rPr>
                <w:rFonts w:hint="eastAsia" w:ascii="仿宋" w:hAnsi="仿宋" w:eastAsia="仿宋" w:cs="仿宋"/>
                <w:kern w:val="0"/>
                <w:sz w:val="24"/>
              </w:rPr>
              <w:t>　</w:t>
            </w:r>
          </w:p>
        </w:tc>
        <w:tc>
          <w:tcPr>
            <w:tcW w:w="1481" w:type="pct"/>
            <w:tcBorders>
              <w:top w:val="nil"/>
              <w:left w:val="nil"/>
              <w:bottom w:val="single" w:color="auto" w:sz="4" w:space="0"/>
              <w:right w:val="single" w:color="auto" w:sz="4" w:space="0"/>
            </w:tcBorders>
            <w:noWrap/>
            <w:vAlign w:val="center"/>
          </w:tcPr>
          <w:p w14:paraId="35E5B9F2">
            <w:pPr>
              <w:widowControl/>
              <w:jc w:val="center"/>
              <w:rPr>
                <w:rFonts w:hint="eastAsia" w:ascii="仿宋" w:hAnsi="仿宋" w:eastAsia="仿宋" w:cs="仿宋"/>
                <w:kern w:val="0"/>
                <w:sz w:val="24"/>
              </w:rPr>
            </w:pPr>
            <w:r>
              <w:rPr>
                <w:rFonts w:hint="eastAsia" w:ascii="仿宋" w:hAnsi="仿宋" w:eastAsia="仿宋" w:cs="仿宋"/>
                <w:kern w:val="0"/>
                <w:sz w:val="24"/>
              </w:rPr>
              <w:t>账号</w:t>
            </w:r>
          </w:p>
        </w:tc>
        <w:tc>
          <w:tcPr>
            <w:tcW w:w="1248" w:type="pct"/>
            <w:tcBorders>
              <w:top w:val="nil"/>
              <w:left w:val="nil"/>
              <w:bottom w:val="single" w:color="auto" w:sz="4" w:space="0"/>
              <w:right w:val="single" w:color="auto" w:sz="8" w:space="0"/>
            </w:tcBorders>
            <w:noWrap/>
            <w:vAlign w:val="center"/>
          </w:tcPr>
          <w:p w14:paraId="11977536">
            <w:pPr>
              <w:widowControl/>
              <w:jc w:val="center"/>
              <w:rPr>
                <w:rFonts w:hint="eastAsia" w:ascii="仿宋" w:hAnsi="仿宋" w:eastAsia="仿宋" w:cs="仿宋"/>
                <w:kern w:val="0"/>
                <w:sz w:val="24"/>
              </w:rPr>
            </w:pPr>
            <w:r>
              <w:rPr>
                <w:rFonts w:hint="eastAsia" w:ascii="仿宋" w:hAnsi="仿宋" w:eastAsia="仿宋" w:cs="仿宋"/>
                <w:kern w:val="0"/>
                <w:sz w:val="24"/>
              </w:rPr>
              <w:t>　</w:t>
            </w:r>
          </w:p>
        </w:tc>
      </w:tr>
      <w:tr w14:paraId="7C61BF80">
        <w:tblPrEx>
          <w:tblCellMar>
            <w:top w:w="0" w:type="dxa"/>
            <w:left w:w="108" w:type="dxa"/>
            <w:bottom w:w="0" w:type="dxa"/>
            <w:right w:w="108" w:type="dxa"/>
          </w:tblCellMar>
        </w:tblPrEx>
        <w:trPr>
          <w:trHeight w:val="540" w:hRule="atLeast"/>
        </w:trPr>
        <w:tc>
          <w:tcPr>
            <w:tcW w:w="922" w:type="pct"/>
            <w:tcBorders>
              <w:top w:val="nil"/>
              <w:left w:val="single" w:color="auto" w:sz="8" w:space="0"/>
              <w:bottom w:val="nil"/>
              <w:right w:val="single" w:color="auto" w:sz="4" w:space="0"/>
            </w:tcBorders>
            <w:noWrap/>
            <w:vAlign w:val="center"/>
          </w:tcPr>
          <w:p w14:paraId="37D1E24D">
            <w:pPr>
              <w:widowControl/>
              <w:jc w:val="center"/>
              <w:rPr>
                <w:rFonts w:hint="eastAsia" w:ascii="仿宋" w:hAnsi="仿宋" w:eastAsia="仿宋" w:cs="仿宋"/>
                <w:kern w:val="0"/>
                <w:sz w:val="24"/>
              </w:rPr>
            </w:pPr>
            <w:r>
              <w:rPr>
                <w:rFonts w:hint="eastAsia" w:ascii="仿宋" w:hAnsi="仿宋" w:eastAsia="仿宋" w:cs="仿宋"/>
                <w:kern w:val="0"/>
                <w:sz w:val="24"/>
              </w:rPr>
              <w:t>联系人</w:t>
            </w:r>
          </w:p>
        </w:tc>
        <w:tc>
          <w:tcPr>
            <w:tcW w:w="1349" w:type="pct"/>
            <w:tcBorders>
              <w:top w:val="nil"/>
              <w:left w:val="nil"/>
              <w:bottom w:val="nil"/>
              <w:right w:val="single" w:color="auto" w:sz="4" w:space="0"/>
            </w:tcBorders>
            <w:noWrap/>
            <w:vAlign w:val="center"/>
          </w:tcPr>
          <w:p w14:paraId="140E8705">
            <w:pPr>
              <w:widowControl/>
              <w:jc w:val="center"/>
              <w:rPr>
                <w:rFonts w:hint="eastAsia" w:ascii="仿宋" w:hAnsi="仿宋" w:eastAsia="仿宋" w:cs="仿宋"/>
                <w:kern w:val="0"/>
                <w:sz w:val="24"/>
              </w:rPr>
            </w:pPr>
            <w:r>
              <w:rPr>
                <w:rFonts w:hint="eastAsia" w:ascii="仿宋" w:hAnsi="仿宋" w:eastAsia="仿宋" w:cs="仿宋"/>
                <w:kern w:val="0"/>
                <w:sz w:val="24"/>
              </w:rPr>
              <w:t>　</w:t>
            </w:r>
          </w:p>
        </w:tc>
        <w:tc>
          <w:tcPr>
            <w:tcW w:w="1481" w:type="pct"/>
            <w:tcBorders>
              <w:top w:val="nil"/>
              <w:left w:val="nil"/>
              <w:bottom w:val="nil"/>
              <w:right w:val="single" w:color="auto" w:sz="4" w:space="0"/>
            </w:tcBorders>
            <w:noWrap/>
            <w:vAlign w:val="center"/>
          </w:tcPr>
          <w:p w14:paraId="765CF274">
            <w:pPr>
              <w:widowControl/>
              <w:jc w:val="center"/>
              <w:rPr>
                <w:rFonts w:hint="eastAsia" w:ascii="仿宋" w:hAnsi="仿宋" w:eastAsia="仿宋" w:cs="仿宋"/>
                <w:kern w:val="0"/>
                <w:sz w:val="24"/>
              </w:rPr>
            </w:pPr>
            <w:r>
              <w:rPr>
                <w:rFonts w:hint="eastAsia" w:ascii="仿宋" w:hAnsi="仿宋" w:eastAsia="仿宋" w:cs="仿宋"/>
                <w:kern w:val="0"/>
                <w:sz w:val="24"/>
              </w:rPr>
              <w:t>电话</w:t>
            </w:r>
          </w:p>
        </w:tc>
        <w:tc>
          <w:tcPr>
            <w:tcW w:w="1248" w:type="pct"/>
            <w:tcBorders>
              <w:top w:val="nil"/>
              <w:left w:val="nil"/>
              <w:bottom w:val="nil"/>
              <w:right w:val="single" w:color="auto" w:sz="8" w:space="0"/>
            </w:tcBorders>
            <w:noWrap/>
            <w:vAlign w:val="center"/>
          </w:tcPr>
          <w:p w14:paraId="68F146EE">
            <w:pPr>
              <w:widowControl/>
              <w:jc w:val="center"/>
              <w:rPr>
                <w:rFonts w:hint="eastAsia" w:ascii="仿宋" w:hAnsi="仿宋" w:eastAsia="仿宋" w:cs="仿宋"/>
                <w:kern w:val="0"/>
                <w:sz w:val="24"/>
              </w:rPr>
            </w:pPr>
            <w:r>
              <w:rPr>
                <w:rFonts w:hint="eastAsia" w:ascii="仿宋" w:hAnsi="仿宋" w:eastAsia="仿宋" w:cs="仿宋"/>
                <w:kern w:val="0"/>
                <w:sz w:val="24"/>
              </w:rPr>
              <w:t>　</w:t>
            </w:r>
          </w:p>
        </w:tc>
      </w:tr>
      <w:tr w14:paraId="0B18D8CE">
        <w:tblPrEx>
          <w:tblCellMar>
            <w:top w:w="0" w:type="dxa"/>
            <w:left w:w="108" w:type="dxa"/>
            <w:bottom w:w="0" w:type="dxa"/>
            <w:right w:w="108" w:type="dxa"/>
          </w:tblCellMar>
        </w:tblPrEx>
        <w:trPr>
          <w:trHeight w:val="880" w:hRule="atLeast"/>
        </w:trPr>
        <w:tc>
          <w:tcPr>
            <w:tcW w:w="2271" w:type="pct"/>
            <w:gridSpan w:val="2"/>
            <w:tcBorders>
              <w:top w:val="single" w:color="auto" w:sz="4" w:space="0"/>
              <w:left w:val="single" w:color="auto" w:sz="8" w:space="0"/>
              <w:bottom w:val="nil"/>
              <w:right w:val="nil"/>
            </w:tcBorders>
            <w:noWrap w:val="0"/>
            <w:vAlign w:val="top"/>
          </w:tcPr>
          <w:p w14:paraId="117BB1D6">
            <w:pPr>
              <w:widowControl/>
              <w:jc w:val="left"/>
              <w:rPr>
                <w:rFonts w:hint="eastAsia" w:ascii="仿宋" w:hAnsi="仿宋" w:eastAsia="仿宋" w:cs="仿宋"/>
                <w:kern w:val="0"/>
                <w:sz w:val="24"/>
              </w:rPr>
            </w:pPr>
            <w:r>
              <w:rPr>
                <w:rFonts w:hint="eastAsia" w:ascii="仿宋" w:hAnsi="仿宋" w:eastAsia="仿宋" w:cs="仿宋"/>
                <w:kern w:val="0"/>
                <w:sz w:val="24"/>
              </w:rPr>
              <w:t xml:space="preserve">  供货单位：（盖章）</w:t>
            </w:r>
          </w:p>
        </w:tc>
        <w:tc>
          <w:tcPr>
            <w:tcW w:w="2729" w:type="pct"/>
            <w:gridSpan w:val="2"/>
            <w:tcBorders>
              <w:top w:val="single" w:color="auto" w:sz="4" w:space="0"/>
              <w:left w:val="single" w:color="auto" w:sz="4" w:space="0"/>
              <w:bottom w:val="nil"/>
              <w:right w:val="single" w:color="000000" w:sz="8" w:space="0"/>
            </w:tcBorders>
            <w:noWrap w:val="0"/>
            <w:vAlign w:val="top"/>
          </w:tcPr>
          <w:p w14:paraId="1532E03E">
            <w:pPr>
              <w:widowControl/>
              <w:jc w:val="left"/>
              <w:rPr>
                <w:rFonts w:hint="eastAsia" w:ascii="仿宋" w:hAnsi="仿宋" w:eastAsia="仿宋" w:cs="仿宋"/>
                <w:kern w:val="0"/>
                <w:sz w:val="24"/>
              </w:rPr>
            </w:pPr>
            <w:r>
              <w:rPr>
                <w:rFonts w:hint="eastAsia" w:ascii="仿宋" w:hAnsi="仿宋" w:eastAsia="仿宋" w:cs="仿宋"/>
                <w:kern w:val="0"/>
                <w:sz w:val="24"/>
              </w:rPr>
              <w:t xml:space="preserve">   使用单位验收意见：（盖章）</w:t>
            </w:r>
          </w:p>
          <w:p w14:paraId="78362B27">
            <w:pPr>
              <w:rPr>
                <w:rFonts w:hint="eastAsia" w:ascii="仿宋" w:hAnsi="仿宋" w:eastAsia="仿宋" w:cs="仿宋"/>
                <w:sz w:val="24"/>
              </w:rPr>
            </w:pPr>
          </w:p>
        </w:tc>
      </w:tr>
      <w:tr w14:paraId="1E92C850">
        <w:tblPrEx>
          <w:tblCellMar>
            <w:top w:w="0" w:type="dxa"/>
            <w:left w:w="108" w:type="dxa"/>
            <w:bottom w:w="0" w:type="dxa"/>
            <w:right w:w="108" w:type="dxa"/>
          </w:tblCellMar>
        </w:tblPrEx>
        <w:trPr>
          <w:trHeight w:val="480" w:hRule="atLeast"/>
        </w:trPr>
        <w:tc>
          <w:tcPr>
            <w:tcW w:w="922" w:type="pct"/>
            <w:tcBorders>
              <w:top w:val="nil"/>
              <w:left w:val="single" w:color="auto" w:sz="8" w:space="0"/>
              <w:bottom w:val="nil"/>
              <w:right w:val="nil"/>
            </w:tcBorders>
            <w:noWrap/>
            <w:vAlign w:val="center"/>
          </w:tcPr>
          <w:p w14:paraId="7315D358">
            <w:pPr>
              <w:widowControl/>
              <w:jc w:val="center"/>
              <w:rPr>
                <w:rFonts w:hint="eastAsia" w:ascii="仿宋" w:hAnsi="仿宋" w:eastAsia="仿宋" w:cs="仿宋"/>
                <w:kern w:val="0"/>
                <w:sz w:val="24"/>
              </w:rPr>
            </w:pPr>
            <w:r>
              <w:rPr>
                <w:rFonts w:hint="eastAsia" w:ascii="仿宋" w:hAnsi="仿宋" w:eastAsia="仿宋" w:cs="仿宋"/>
                <w:kern w:val="0"/>
                <w:sz w:val="24"/>
              </w:rPr>
              <w:t xml:space="preserve"> 签字：</w:t>
            </w:r>
          </w:p>
        </w:tc>
        <w:tc>
          <w:tcPr>
            <w:tcW w:w="1349" w:type="pct"/>
            <w:tcBorders>
              <w:top w:val="nil"/>
              <w:left w:val="nil"/>
              <w:bottom w:val="nil"/>
              <w:right w:val="nil"/>
            </w:tcBorders>
            <w:noWrap/>
            <w:vAlign w:val="center"/>
          </w:tcPr>
          <w:p w14:paraId="6FF30EAF">
            <w:pPr>
              <w:widowControl/>
              <w:jc w:val="center"/>
              <w:rPr>
                <w:rFonts w:hint="eastAsia" w:ascii="仿宋" w:hAnsi="仿宋" w:eastAsia="仿宋" w:cs="仿宋"/>
                <w:kern w:val="0"/>
                <w:sz w:val="24"/>
              </w:rPr>
            </w:pPr>
          </w:p>
        </w:tc>
        <w:tc>
          <w:tcPr>
            <w:tcW w:w="1481" w:type="pct"/>
            <w:tcBorders>
              <w:top w:val="nil"/>
              <w:left w:val="single" w:color="auto" w:sz="4" w:space="0"/>
              <w:bottom w:val="nil"/>
              <w:right w:val="nil"/>
            </w:tcBorders>
            <w:noWrap/>
            <w:vAlign w:val="center"/>
          </w:tcPr>
          <w:p w14:paraId="5D18BE3E">
            <w:pPr>
              <w:widowControl/>
              <w:jc w:val="center"/>
              <w:rPr>
                <w:rFonts w:hint="eastAsia" w:ascii="仿宋" w:hAnsi="仿宋" w:eastAsia="仿宋" w:cs="仿宋"/>
                <w:kern w:val="0"/>
                <w:sz w:val="24"/>
              </w:rPr>
            </w:pPr>
            <w:r>
              <w:rPr>
                <w:rFonts w:hint="eastAsia" w:ascii="仿宋" w:hAnsi="仿宋" w:eastAsia="仿宋" w:cs="仿宋"/>
                <w:kern w:val="0"/>
                <w:sz w:val="24"/>
              </w:rPr>
              <w:t>签字：</w:t>
            </w:r>
          </w:p>
        </w:tc>
        <w:tc>
          <w:tcPr>
            <w:tcW w:w="1248" w:type="pct"/>
            <w:tcBorders>
              <w:top w:val="nil"/>
              <w:left w:val="nil"/>
              <w:bottom w:val="nil"/>
              <w:right w:val="single" w:color="auto" w:sz="8" w:space="0"/>
            </w:tcBorders>
            <w:noWrap w:val="0"/>
            <w:vAlign w:val="top"/>
          </w:tcPr>
          <w:p w14:paraId="3A18487A">
            <w:pPr>
              <w:widowControl/>
              <w:jc w:val="left"/>
              <w:rPr>
                <w:rFonts w:hint="eastAsia" w:ascii="仿宋" w:hAnsi="仿宋" w:eastAsia="仿宋" w:cs="仿宋"/>
                <w:kern w:val="0"/>
                <w:sz w:val="24"/>
              </w:rPr>
            </w:pPr>
            <w:r>
              <w:rPr>
                <w:rFonts w:hint="eastAsia" w:ascii="仿宋" w:hAnsi="仿宋" w:eastAsia="仿宋" w:cs="仿宋"/>
                <w:kern w:val="0"/>
                <w:sz w:val="24"/>
              </w:rPr>
              <w:t>　</w:t>
            </w:r>
          </w:p>
        </w:tc>
      </w:tr>
      <w:tr w14:paraId="614CE0A3">
        <w:tblPrEx>
          <w:tblCellMar>
            <w:top w:w="0" w:type="dxa"/>
            <w:left w:w="108" w:type="dxa"/>
            <w:bottom w:w="0" w:type="dxa"/>
            <w:right w:w="108" w:type="dxa"/>
          </w:tblCellMar>
        </w:tblPrEx>
        <w:trPr>
          <w:trHeight w:val="78" w:hRule="atLeast"/>
        </w:trPr>
        <w:tc>
          <w:tcPr>
            <w:tcW w:w="922" w:type="pct"/>
            <w:tcBorders>
              <w:top w:val="nil"/>
              <w:left w:val="single" w:color="auto" w:sz="8" w:space="0"/>
              <w:bottom w:val="single" w:color="auto" w:sz="4" w:space="0"/>
              <w:right w:val="nil"/>
            </w:tcBorders>
            <w:noWrap/>
            <w:vAlign w:val="center"/>
          </w:tcPr>
          <w:p w14:paraId="507804C1">
            <w:pPr>
              <w:widowControl/>
              <w:jc w:val="left"/>
              <w:rPr>
                <w:rFonts w:hint="eastAsia" w:ascii="仿宋" w:hAnsi="仿宋" w:eastAsia="仿宋" w:cs="仿宋"/>
                <w:kern w:val="0"/>
                <w:sz w:val="22"/>
                <w:szCs w:val="22"/>
              </w:rPr>
            </w:pPr>
            <w:r>
              <w:rPr>
                <w:rFonts w:hint="eastAsia" w:ascii="仿宋" w:hAnsi="仿宋" w:eastAsia="仿宋" w:cs="仿宋"/>
                <w:kern w:val="0"/>
                <w:sz w:val="22"/>
                <w:szCs w:val="22"/>
              </w:rPr>
              <w:t>　</w:t>
            </w:r>
          </w:p>
        </w:tc>
        <w:tc>
          <w:tcPr>
            <w:tcW w:w="1349" w:type="pct"/>
            <w:tcBorders>
              <w:top w:val="nil"/>
              <w:left w:val="nil"/>
              <w:bottom w:val="single" w:color="auto" w:sz="4" w:space="0"/>
              <w:right w:val="nil"/>
            </w:tcBorders>
            <w:noWrap w:val="0"/>
            <w:vAlign w:val="bottom"/>
          </w:tcPr>
          <w:p w14:paraId="187B34F4">
            <w:pPr>
              <w:widowControl/>
              <w:jc w:val="right"/>
              <w:rPr>
                <w:rFonts w:hint="eastAsia" w:ascii="仿宋" w:hAnsi="仿宋" w:eastAsia="仿宋" w:cs="仿宋"/>
                <w:kern w:val="0"/>
                <w:sz w:val="22"/>
                <w:szCs w:val="22"/>
              </w:rPr>
            </w:pPr>
            <w:r>
              <w:rPr>
                <w:rFonts w:hint="eastAsia" w:ascii="仿宋" w:hAnsi="仿宋" w:eastAsia="仿宋" w:cs="仿宋"/>
                <w:kern w:val="0"/>
                <w:sz w:val="22"/>
                <w:szCs w:val="22"/>
              </w:rPr>
              <w:t>年     月   日</w:t>
            </w:r>
          </w:p>
        </w:tc>
        <w:tc>
          <w:tcPr>
            <w:tcW w:w="1481" w:type="pct"/>
            <w:tcBorders>
              <w:top w:val="nil"/>
              <w:left w:val="single" w:color="auto" w:sz="4" w:space="0"/>
              <w:bottom w:val="single" w:color="auto" w:sz="4" w:space="0"/>
              <w:right w:val="nil"/>
            </w:tcBorders>
            <w:noWrap/>
            <w:vAlign w:val="center"/>
          </w:tcPr>
          <w:p w14:paraId="77CD436E">
            <w:pPr>
              <w:widowControl/>
              <w:jc w:val="left"/>
              <w:rPr>
                <w:rFonts w:hint="eastAsia" w:ascii="仿宋" w:hAnsi="仿宋" w:eastAsia="仿宋" w:cs="仿宋"/>
                <w:kern w:val="0"/>
                <w:sz w:val="22"/>
                <w:szCs w:val="22"/>
              </w:rPr>
            </w:pPr>
            <w:r>
              <w:rPr>
                <w:rFonts w:hint="eastAsia" w:ascii="仿宋" w:hAnsi="仿宋" w:eastAsia="仿宋" w:cs="仿宋"/>
                <w:kern w:val="0"/>
                <w:sz w:val="22"/>
                <w:szCs w:val="22"/>
              </w:rPr>
              <w:t>　</w:t>
            </w:r>
          </w:p>
        </w:tc>
        <w:tc>
          <w:tcPr>
            <w:tcW w:w="1248" w:type="pct"/>
            <w:tcBorders>
              <w:top w:val="nil"/>
              <w:left w:val="nil"/>
              <w:bottom w:val="single" w:color="auto" w:sz="4" w:space="0"/>
              <w:right w:val="single" w:color="auto" w:sz="8" w:space="0"/>
            </w:tcBorders>
            <w:noWrap w:val="0"/>
            <w:vAlign w:val="bottom"/>
          </w:tcPr>
          <w:p w14:paraId="373A5EDB">
            <w:pPr>
              <w:widowControl/>
              <w:jc w:val="right"/>
              <w:rPr>
                <w:rFonts w:hint="eastAsia" w:ascii="仿宋" w:hAnsi="仿宋" w:eastAsia="仿宋" w:cs="仿宋"/>
                <w:kern w:val="0"/>
                <w:sz w:val="22"/>
                <w:szCs w:val="22"/>
              </w:rPr>
            </w:pPr>
            <w:r>
              <w:rPr>
                <w:rFonts w:hint="eastAsia" w:ascii="仿宋" w:hAnsi="仿宋" w:eastAsia="仿宋" w:cs="仿宋"/>
                <w:kern w:val="0"/>
                <w:sz w:val="22"/>
                <w:szCs w:val="22"/>
              </w:rPr>
              <w:t>年   月   日</w:t>
            </w:r>
          </w:p>
        </w:tc>
      </w:tr>
      <w:tr w14:paraId="6B4A491F">
        <w:tblPrEx>
          <w:tblCellMar>
            <w:top w:w="0" w:type="dxa"/>
            <w:left w:w="108" w:type="dxa"/>
            <w:bottom w:w="0" w:type="dxa"/>
            <w:right w:w="108" w:type="dxa"/>
          </w:tblCellMar>
        </w:tblPrEx>
        <w:trPr>
          <w:trHeight w:val="603" w:hRule="atLeast"/>
        </w:trPr>
        <w:tc>
          <w:tcPr>
            <w:tcW w:w="5000" w:type="pct"/>
            <w:gridSpan w:val="4"/>
            <w:tcBorders>
              <w:top w:val="single" w:color="auto" w:sz="4" w:space="0"/>
              <w:left w:val="single" w:color="auto" w:sz="8" w:space="0"/>
              <w:bottom w:val="single" w:color="auto" w:sz="4" w:space="0"/>
              <w:right w:val="single" w:color="000000" w:sz="8" w:space="0"/>
            </w:tcBorders>
            <w:noWrap/>
            <w:vAlign w:val="center"/>
          </w:tcPr>
          <w:p w14:paraId="1E63AE4B">
            <w:pPr>
              <w:widowControl/>
              <w:jc w:val="center"/>
              <w:rPr>
                <w:rFonts w:hint="eastAsia" w:ascii="仿宋" w:hAnsi="仿宋" w:eastAsia="仿宋" w:cs="仿宋"/>
                <w:kern w:val="0"/>
                <w:sz w:val="22"/>
                <w:szCs w:val="22"/>
              </w:rPr>
            </w:pPr>
            <w:r>
              <w:rPr>
                <w:rFonts w:hint="eastAsia" w:ascii="仿宋" w:hAnsi="仿宋" w:eastAsia="仿宋" w:cs="仿宋"/>
                <w:kern w:val="0"/>
                <w:sz w:val="22"/>
                <w:szCs w:val="22"/>
              </w:rPr>
              <w:t>采购内容</w:t>
            </w:r>
          </w:p>
        </w:tc>
      </w:tr>
      <w:tr w14:paraId="6E2BB530">
        <w:tblPrEx>
          <w:tblCellMar>
            <w:top w:w="0" w:type="dxa"/>
            <w:left w:w="108" w:type="dxa"/>
            <w:bottom w:w="0" w:type="dxa"/>
            <w:right w:w="108" w:type="dxa"/>
          </w:tblCellMar>
        </w:tblPrEx>
        <w:trPr>
          <w:trHeight w:val="1975" w:hRule="atLeast"/>
        </w:trPr>
        <w:tc>
          <w:tcPr>
            <w:tcW w:w="5000" w:type="pct"/>
            <w:gridSpan w:val="4"/>
            <w:tcBorders>
              <w:top w:val="single" w:color="auto" w:sz="4" w:space="0"/>
              <w:left w:val="single" w:color="auto" w:sz="8" w:space="0"/>
              <w:bottom w:val="single" w:color="auto" w:sz="8" w:space="0"/>
              <w:right w:val="single" w:color="000000" w:sz="8" w:space="0"/>
            </w:tcBorders>
            <w:noWrap w:val="0"/>
            <w:vAlign w:val="top"/>
          </w:tcPr>
          <w:p w14:paraId="0BCFCF56">
            <w:pPr>
              <w:widowControl/>
              <w:jc w:val="center"/>
              <w:rPr>
                <w:rFonts w:hint="eastAsia" w:ascii="仿宋" w:hAnsi="仿宋" w:eastAsia="仿宋" w:cs="仿宋"/>
                <w:kern w:val="0"/>
                <w:sz w:val="28"/>
                <w:szCs w:val="28"/>
              </w:rPr>
            </w:pPr>
            <w:r>
              <w:rPr>
                <w:rFonts w:hint="eastAsia" w:ascii="仿宋" w:hAnsi="仿宋" w:eastAsia="仿宋" w:cs="仿宋"/>
                <w:kern w:val="0"/>
                <w:sz w:val="28"/>
                <w:szCs w:val="28"/>
              </w:rPr>
              <w:t>采购内容请列明品目、规格、型号、数量、单价、总价</w:t>
            </w:r>
          </w:p>
        </w:tc>
      </w:tr>
    </w:tbl>
    <w:p w14:paraId="3E57B0FF">
      <w:pPr>
        <w:pStyle w:val="3"/>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小标宋简体">
    <w:panose1 w:val="03000509000000000000"/>
    <w:charset w:val="86"/>
    <w:family w:val="roma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8077C95"/>
    <w:rsid w:val="138F5C4A"/>
    <w:rsid w:val="1C985522"/>
    <w:rsid w:val="76553D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6"/>
    <w:qFormat/>
    <w:uiPriority w:val="0"/>
    <w:pPr>
      <w:keepNext/>
      <w:keepLines/>
      <w:autoSpaceDE w:val="0"/>
      <w:autoSpaceDN w:val="0"/>
      <w:adjustRightInd w:val="0"/>
      <w:spacing w:before="240" w:after="120" w:line="300" w:lineRule="auto"/>
      <w:jc w:val="center"/>
      <w:outlineLvl w:val="0"/>
    </w:pPr>
    <w:rPr>
      <w:rFonts w:ascii="宋体"/>
      <w:b/>
      <w:kern w:val="44"/>
      <w:sz w:val="32"/>
      <w:szCs w:val="20"/>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Body Text"/>
    <w:basedOn w:val="1"/>
    <w:qFormat/>
    <w:uiPriority w:val="0"/>
    <w:pPr>
      <w:tabs>
        <w:tab w:val="left" w:pos="567"/>
      </w:tabs>
      <w:spacing w:before="120" w:line="22" w:lineRule="atLeast"/>
    </w:pPr>
    <w:rPr>
      <w:rFonts w:ascii="宋体" w:hAnsi="宋体"/>
      <w:sz w:val="24"/>
    </w:rPr>
  </w:style>
  <w:style w:type="character" w:customStyle="1" w:styleId="6">
    <w:name w:val="标题 1 Char"/>
    <w:link w:val="2"/>
    <w:qFormat/>
    <w:uiPriority w:val="0"/>
    <w:rPr>
      <w:rFonts w:ascii="宋体"/>
      <w:b/>
      <w:kern w:val="44"/>
      <w:sz w:val="32"/>
      <w:szCs w:val="20"/>
    </w:rPr>
  </w:style>
  <w:style w:type="paragraph" w:styleId="7">
    <w:name w:val="List Paragraph"/>
    <w:basedOn w:val="1"/>
    <w:qFormat/>
    <w:uiPriority w:val="34"/>
    <w:pPr>
      <w:widowControl/>
      <w:ind w:firstLine="420" w:firstLineChars="200"/>
      <w:jc w:val="left"/>
    </w:pPr>
    <w:rPr>
      <w:kern w:val="0"/>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2532</Words>
  <Characters>2615</Characters>
  <Lines>0</Lines>
  <Paragraphs>0</Paragraphs>
  <TotalTime>21</TotalTime>
  <ScaleCrop>false</ScaleCrop>
  <LinksUpToDate>false</LinksUpToDate>
  <CharactersWithSpaces>2690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2025-06-05T11:05:00Z</dcterms:created>
  <dc:creator>lenovo</dc:creator>
  <cp:lastModifiedBy>wwwy</cp:lastModifiedBy>
  <dcterms:modified xsi:type="dcterms:W3CDTF">2025-06-08T08:16:28Z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eyJoZGlkIjoiM2U1Y2M4NzQ5OTI3M2UxNzNkMWIyMjc5MWYyOGZkMmIiLCJ1c2VySWQiOiIxMzM0OTMyMzk3In0=</vt:lpwstr>
  </property>
  <property fmtid="{D5CDD505-2E9C-101B-9397-08002B2CF9AE}" pid="4" name="ICV">
    <vt:lpwstr>9A6A1F220CB6472B90F8B1BD61543E61_12</vt:lpwstr>
  </property>
</Properties>
</file>