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版本号：HZCXHZ-2025-060220250606002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2025年勉县镇川镇柏树堂社区凤凰岭生态园建设项目设备采购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HZCXHZ-2025-0602</w:t>
      </w:r>
      <w:r>
        <w:br/>
      </w:r>
      <w:r>
        <w:br/>
      </w:r>
      <w:r>
        <w:br/>
      </w:r>
    </w:p>
    <w:p>
      <w:pPr>
        <w:pStyle w:val="null3"/>
        <w:jc w:val="center"/>
        <w:outlineLvl w:val="2"/>
      </w:pPr>
      <w:r>
        <w:rPr>
          <w:rFonts w:ascii="仿宋_GB2312" w:hAnsi="仿宋_GB2312" w:cs="仿宋_GB2312" w:eastAsia="仿宋_GB2312"/>
          <w:sz w:val="28"/>
          <w:b/>
        </w:rPr>
        <w:t>勉县镇川镇人民政府</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勉县镇川镇人民政府</w:t>
      </w:r>
      <w:r>
        <w:rPr>
          <w:rFonts w:ascii="仿宋_GB2312" w:hAnsi="仿宋_GB2312" w:cs="仿宋_GB2312" w:eastAsia="仿宋_GB2312"/>
        </w:rPr>
        <w:t>委托，拟对</w:t>
      </w:r>
      <w:r>
        <w:rPr>
          <w:rFonts w:ascii="仿宋_GB2312" w:hAnsi="仿宋_GB2312" w:cs="仿宋_GB2312" w:eastAsia="仿宋_GB2312"/>
        </w:rPr>
        <w:t>2025年勉县镇川镇柏树堂社区凤凰岭生态园建设项目设备采购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HZCXHZ-2025-0602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2025年勉县镇川镇柏树堂社区凤凰岭生态园建设项目设备采购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凤凰岭生态园配套采购1204铁拖拉机+旋耕机1套、药材收获机1台、微挖机1台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1、营业执照或相关证明文件：供应商具有独立承担民事责任能力的法人、其他组织或自然人，提供有效营业执照/事业单 位法人证书/其他组织的有效证明文件/自然人的身份证明/民办非企业单位登记证书；</w:t>
      </w:r>
    </w:p>
    <w:p>
      <w:pPr>
        <w:pStyle w:val="null3"/>
      </w:pPr>
      <w:r>
        <w:rPr>
          <w:rFonts w:ascii="仿宋_GB2312" w:hAnsi="仿宋_GB2312" w:cs="仿宋_GB2312" w:eastAsia="仿宋_GB2312"/>
        </w:rPr>
        <w:t>2、法定代表人证明书或法定代表人授权书及相关资料：法定代表人参加开标会议的，须出具法定代表人证明书及法定代 表人合法有效的身份证扫描件；法定代表人授权他人参加开标会议的，须提供法定代表人授权委托书及被授权代表的身份证扫 描件；</w:t>
      </w:r>
    </w:p>
    <w:p>
      <w:pPr>
        <w:pStyle w:val="null3"/>
      </w:pPr>
      <w:r>
        <w:rPr>
          <w:rFonts w:ascii="仿宋_GB2312" w:hAnsi="仿宋_GB2312" w:cs="仿宋_GB2312" w:eastAsia="仿宋_GB2312"/>
        </w:rPr>
        <w:t>3、资格承诺文件：供应商应具有良好的商业信誉和健全的财务会计制度,具有履行合同所必需的设备和专业技术能力,具 有依法缴纳税收和社会保障金的良好记录，参加本项目采购活动前三年内无重大违法活动记录，未列入在信用中国网站“失信 被执行人” 、“重大税收违法案件当事人名单” 中，也未列入中国政府采购网“政府采购严重违法失信行为记录名单” 中，提供加盖公章的《汉中市政府采购供应商资格承诺函》扫描件。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勉县镇川镇人民政府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勉县镇川镇新春村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勉县镇川镇人民政府经办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13325368788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汉中市汉台区望江路王观营社区二组远东大厦二楼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13084889098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开户名称：陕西鸿志创新工程管理有限责任公司汉中分公司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银行账号：806060801421005496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代理服务费收费标准：本项目采购代理服务费按国家收费标准执行，按照《招标代理服务收费 管理暂行办法（计价格[2002]1980号文件》和（发改办价格[2011]534号文件）计算，由成 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勉县镇川镇人民政府</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勉县镇川镇人民政府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勉县镇川镇人民政府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从采购内容及参数对货物进行验收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联系人：何先生</w:t>
      </w:r>
    </w:p>
    <w:p>
      <w:pPr>
        <w:pStyle w:val="null3"/>
      </w:pPr>
      <w:r>
        <w:rPr>
          <w:rFonts w:ascii="仿宋_GB2312" w:hAnsi="仿宋_GB2312" w:cs="仿宋_GB2312" w:eastAsia="仿宋_GB2312"/>
        </w:rPr>
        <w:t>联系电话：13084889098</w:t>
      </w:r>
    </w:p>
    <w:p>
      <w:pPr>
        <w:pStyle w:val="null3"/>
      </w:pPr>
      <w:r>
        <w:rPr>
          <w:rFonts w:ascii="仿宋_GB2312" w:hAnsi="仿宋_GB2312" w:cs="仿宋_GB2312" w:eastAsia="仿宋_GB2312"/>
        </w:rPr>
        <w:t>地址：汉中市汉台区望江路王观营社区二组远东大厦二楼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凤凰岭生态园采购1204拖拉机+旋耕机1套、药材收获机1台、微挖1台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1204拖拉机+旋耕机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药材收获机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20微挖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标的名称：1204拖拉机+旋耕机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1204拖拉机：发动机动力≥120ps,2200r/min，高压共轨 </w:t>
            </w:r>
            <w:r>
              <w:rPr>
                <w:rFonts w:ascii="仿宋_GB2312" w:hAnsi="仿宋_GB2312" w:cs="仿宋_GB2312" w:eastAsia="仿宋_GB2312"/>
                <w:sz w:val="21"/>
                <w:color w:val="333333"/>
                <w:shd w:fill="FFFFFF" w:val="clear"/>
              </w:rPr>
              <w:t>增压</w:t>
            </w:r>
            <w:r>
              <w:rPr>
                <w:rFonts w:ascii="仿宋_GB2312" w:hAnsi="仿宋_GB2312" w:cs="仿宋_GB2312" w:eastAsia="仿宋_GB2312"/>
                <w:sz w:val="21"/>
              </w:rPr>
              <w:t>中冷柴油机（国四），电启动，四轮驱动机械换挡12F+12R，液压转向液压制动系统，后置独立动力输出轴转速650/720r/min，液压输出2组，轮胎规格：前轮 12.4-26（水田轮）、后轮 16.9-34（水田轮），封闭驾驶室带冷暖空调；</w:t>
            </w:r>
          </w:p>
          <w:p>
            <w:pPr>
              <w:pStyle w:val="null3"/>
              <w:jc w:val="left"/>
            </w:pPr>
            <w:r>
              <w:rPr>
                <w:rFonts w:ascii="仿宋_GB2312" w:hAnsi="仿宋_GB2312" w:cs="仿宋_GB2312" w:eastAsia="仿宋_GB2312"/>
                <w:sz w:val="21"/>
              </w:rPr>
              <w:t>旋耕机：新型齿轮箱体，配套动力70-90ps、结构质量≥520kg，耕幅≥230㎝，耕深12-16㎝，传动方式中间传动，刀轴结构分体式左右对称结构、安装刀具数量≥68把，机罩翻盖结构，标准三点悬挂联接。</w:t>
            </w:r>
          </w:p>
        </w:tc>
      </w:tr>
    </w:tbl>
    <w:p>
      <w:pPr>
        <w:pStyle w:val="null3"/>
      </w:pPr>
      <w:r>
        <w:rPr>
          <w:rFonts w:ascii="仿宋_GB2312" w:hAnsi="仿宋_GB2312" w:cs="仿宋_GB2312" w:eastAsia="仿宋_GB2312"/>
        </w:rPr>
        <w:t>标的名称：药材收获机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挖深根茎类药材、集挖掘、松土、碎土、分离为一体，配套拖拉机动力120-140ps带振动筛和网格式链条筛，收获机作业宽度≥160㎝，起挖深度≥30㎝。</w:t>
            </w:r>
          </w:p>
        </w:tc>
      </w:tr>
    </w:tbl>
    <w:p>
      <w:pPr>
        <w:pStyle w:val="null3"/>
      </w:pPr>
      <w:r>
        <w:rPr>
          <w:rFonts w:ascii="仿宋_GB2312" w:hAnsi="仿宋_GB2312" w:cs="仿宋_GB2312" w:eastAsia="仿宋_GB2312"/>
        </w:rPr>
        <w:t>标的名称：20微挖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整机工作重量≥2000kg，钢履带行走，总排气量≥1.1升，额定输出功率≥19ps(14kw),铲斗容量≥0.05m³，标准铲斗宽幅 带/不带边齿（mm）≥450/400,铲斗挖掘力≥18KN，爬坡能力≥30度，挖掘半径≥4m,挖掘高度≥3.8m,最大挖掘深度≥2.3m，带推土功能。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所有设备进场后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 国家(行业)强制性标准及合同约定对中标方所供货物(产品)或服务进行检查或验收，成交方须无条件的接受采购人的各类检查 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保期1年，供应商承诺超过采购文件要的，按其承诺的质保期进行质保，质保期起始时间为终验合格之日。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如采用投标人所不拥有的知识产权，则在投标报价中必须包括合法使用该知识产权的相关费用。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汉中市政府采购供应商资格承诺函.docx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供应商具有独立承担民事责任能力的法人、其他组织或自然人，提供有效营业执照/事业单 位法人证书/其他组织的有效证明文件/自然人的身份证明/民办非企业单位登记证书；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法定代表人证明书或法定代表人授权书及相关资料</w:t>
            </w:r>
          </w:p>
        </w:tc>
        <w:tc>
          <w:tcPr>
            <w:tcW w:type="dxa" w:w="3322"/>
          </w:tcPr>
          <w:p>
            <w:pPr>
              <w:pStyle w:val="null3"/>
            </w:pPr>
            <w:r>
              <w:rPr>
                <w:rFonts w:ascii="仿宋_GB2312" w:hAnsi="仿宋_GB2312" w:cs="仿宋_GB2312" w:eastAsia="仿宋_GB2312"/>
              </w:rPr>
              <w:t>法定代表人参加开标会议的，须出具法定代表人证明书及法定代 表人合法有效的身份证扫描件；法定代表人授权他人参加开标会议的，须提供法定代表人授权委托书及被授权代表的身份证扫 描件；</w:t>
            </w:r>
          </w:p>
        </w:tc>
        <w:tc>
          <w:tcPr>
            <w:tcW w:type="dxa" w:w="1661"/>
          </w:tcPr>
          <w:p>
            <w:pPr>
              <w:pStyle w:val="null3"/>
            </w:pPr>
            <w:r>
              <w:rPr>
                <w:rFonts w:ascii="仿宋_GB2312" w:hAnsi="仿宋_GB2312" w:cs="仿宋_GB2312" w:eastAsia="仿宋_GB2312"/>
              </w:rPr>
              <w:t>法定代表人证明书与法定代表人授权书.docx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资格承诺文件</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 有依法缴纳税收和社会保障金的良好记录，参加本项目采购活动前三年内无重大违法活动记录，未列入在信用中国网站“失信 被执行人” 、“重大税收违法案件当事人名单” 中，也未列入中国政府采购网“政府采购严重违法失信行为记录名单” 中，提供加盖公章的《汉中市政府采购供应商资格承诺函》扫描件。</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投标文件是否按招标文件要求签署、盖章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投标文件报价有效及唯一性</w:t>
            </w:r>
          </w:p>
        </w:tc>
        <w:tc>
          <w:tcPr>
            <w:tcW w:type="dxa" w:w="3322"/>
          </w:tcPr>
          <w:p>
            <w:pPr>
              <w:pStyle w:val="null3"/>
            </w:pPr>
            <w:r>
              <w:rPr>
                <w:rFonts w:ascii="仿宋_GB2312" w:hAnsi="仿宋_GB2312" w:cs="仿宋_GB2312" w:eastAsia="仿宋_GB2312"/>
              </w:rPr>
              <w:t>投标文件报价唯一，且没有高于采购预算总价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投标供应商的投标有效期符合招标文件的要求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投标人应提交的相关资格证明材料 投标保证金缴纳凭证复印件.docx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法定代表人或法定代表人被授权委托代理人的印鉴齐全</w:t>
            </w:r>
          </w:p>
        </w:tc>
        <w:tc>
          <w:tcPr>
            <w:tcW w:type="dxa" w:w="3322"/>
          </w:tcPr>
          <w:p>
            <w:pPr>
              <w:pStyle w:val="null3"/>
            </w:pPr>
            <w:r>
              <w:rPr>
                <w:rFonts w:ascii="仿宋_GB2312" w:hAnsi="仿宋_GB2312" w:cs="仿宋_GB2312" w:eastAsia="仿宋_GB2312"/>
              </w:rPr>
              <w:t>投标供应商法定代表人或其法定代表人被授权委托代理的印鉴齐全</w:t>
            </w:r>
          </w:p>
        </w:tc>
        <w:tc>
          <w:tcPr>
            <w:tcW w:type="dxa" w:w="1661"/>
          </w:tcPr>
          <w:p>
            <w:pPr>
              <w:pStyle w:val="null3"/>
            </w:pPr>
            <w:r>
              <w:rPr>
                <w:rFonts w:ascii="仿宋_GB2312" w:hAnsi="仿宋_GB2312" w:cs="仿宋_GB2312" w:eastAsia="仿宋_GB2312"/>
              </w:rPr>
              <w:t>法定代表人证明书与法定代表人授权书.docx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 其他资料.docx 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针对本项目特点，根据投入的实施的团队、财力调配、运输配送等制定科学合理的技术方案，方案完整详细、科学合理，满足采购人各项要求得10-15分；方案较为清晰合理得5-10分；方案基本完整得1-5分。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供货进度安排</w:t>
            </w:r>
          </w:p>
        </w:tc>
        <w:tc>
          <w:tcPr>
            <w:tcW w:type="dxa" w:w="2492"/>
          </w:tcPr>
          <w:p>
            <w:pPr>
              <w:pStyle w:val="null3"/>
            </w:pPr>
            <w:r>
              <w:rPr>
                <w:rFonts w:ascii="仿宋_GB2312" w:hAnsi="仿宋_GB2312" w:cs="仿宋_GB2312" w:eastAsia="仿宋_GB2312"/>
              </w:rPr>
              <w:t>有明确的供货计划周期安排，能够在承诺的时间内按时交货，计划进度安排合理，保障措施可行得6-10分；计划进度较为合理可行得3-6分；计划进度基本合理得1-3分。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提供的设备供货渠道正规、技术资料齐全，保证所投设备无水货、假货、翻新货、无不良市场反馈，检验检测手续合法有效且无产权纠纷，并提供设备来源的合法证明文件（包括但不限于销售协议、代理协议、厂家授权等），质量保障内容完整、结构清晰、可操作性强，能完全满足采购需求得10-15分；质量保障较为完整、清晰得5-10分；质量保障基本完整、清晰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提供磋商供应商2021年1月1日至今承担过类似项目业绩，每提供一个计2分，满分6分。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根据本项目特点制定合理可行、详细完善的售后服务计划，计划完善合理得5-8分；计划较为完善合理得3-5分；计划基本完善合理得1-3分。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供应商提供的易损件和关键零部件备品备件情况，且提供的备品备件供货渠道正规，并能提供相关备品备件的详细清单，视相应情况得0-4分。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针对本项目制定切实可行的培训计划方案，方案详细可行得4-6分；方案较为详细可行得2-4分，方案基本详细可行得1-2分。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具有项目执行保障能力，在特殊情况条件下的应对措施和应急保障措施，保障措施完整详细、科学合理得4-6分，较为完整详细、科学合理得2-4分，基本完整合理得1-2分。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 足招标文件要求最低的投标报价为 评审基准价，其价格分为满分，其 他响应人的价格分统一按照下列公式计算：投标供应商报价得分=（评审基准 价/报价）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详见附件：投标保证金缴纳凭证复印件.docx</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