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版本号：JXRZ-HC-2025-07720250720001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勉县2025年中央财政森林修复项目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JXRZ-HC-2025-077</w:t>
      </w:r>
      <w:r>
        <w:br/>
      </w:r>
      <w:r>
        <w:br/>
      </w:r>
      <w:r>
        <w:br/>
      </w:r>
    </w:p>
    <w:p>
      <w:pPr>
        <w:pStyle w:val="null3"/>
        <w:jc w:val="center"/>
        <w:outlineLvl w:val="2"/>
      </w:pPr>
      <w:r>
        <w:rPr>
          <w:rFonts w:ascii="仿宋_GB2312" w:hAnsi="仿宋_GB2312" w:cs="仿宋_GB2312" w:eastAsia="仿宋_GB2312"/>
          <w:sz w:val="28"/>
          <w:b/>
        </w:rPr>
        <w:t>勉县国有黑潭子林场</w:t>
      </w:r>
    </w:p>
    <w:p>
      <w:pPr>
        <w:pStyle w:val="null3"/>
        <w:jc w:val="center"/>
        <w:outlineLvl w:val="2"/>
      </w:pPr>
      <w:r>
        <w:rPr>
          <w:rFonts w:ascii="仿宋_GB2312" w:hAnsi="仿宋_GB2312" w:cs="仿宋_GB2312" w:eastAsia="仿宋_GB2312"/>
          <w:sz w:val="28"/>
          <w:b/>
        </w:rPr>
        <w:t>陕西锦鑫睿泽项目管理有限公司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陕西锦鑫睿泽项目管理有限公司</w:t>
      </w:r>
      <w:r>
        <w:rPr>
          <w:rFonts w:ascii="仿宋_GB2312" w:hAnsi="仿宋_GB2312" w:cs="仿宋_GB2312" w:eastAsia="仿宋_GB2312"/>
        </w:rPr>
        <w:t>（以下简称“代理机构”）受</w:t>
      </w:r>
      <w:r>
        <w:rPr>
          <w:rFonts w:ascii="仿宋_GB2312" w:hAnsi="仿宋_GB2312" w:cs="仿宋_GB2312" w:eastAsia="仿宋_GB2312"/>
        </w:rPr>
        <w:t>勉县国有黑潭子林场</w:t>
      </w:r>
      <w:r>
        <w:rPr>
          <w:rFonts w:ascii="仿宋_GB2312" w:hAnsi="仿宋_GB2312" w:cs="仿宋_GB2312" w:eastAsia="仿宋_GB2312"/>
        </w:rPr>
        <w:t>委托，拟对</w:t>
      </w:r>
      <w:r>
        <w:rPr>
          <w:rFonts w:ascii="仿宋_GB2312" w:hAnsi="仿宋_GB2312" w:cs="仿宋_GB2312" w:eastAsia="仿宋_GB2312"/>
        </w:rPr>
        <w:t>勉县2025年中央财政森林修复项目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JXRZ-HC-2025-077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勉县2025年中央财政森林修复项目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本项目作业面积6000亩，项目共计采伐各类树种230362株，采伐总蓄积 4819.3m³，其中生长伐采伐蓄积量 2213.5m³，疏伐采伐蓄积量 378.3m³，卫生伐采伐蓄积量 2227.5m³。割灌除草及修枝综合抚育面积 6000亩。</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采购包1（勉县2025年中央财政森林修复项目）：属于专门面向中小企业采购。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1、营业执照：投标人为具有独立承担民事责任能力的法人或其他组织或自然人，并出具营 业执照（事业法人证）或证明文件或自然人的身份证明；</w:t>
      </w:r>
    </w:p>
    <w:p>
      <w:pPr>
        <w:pStyle w:val="null3"/>
      </w:pPr>
      <w:r>
        <w:rPr>
          <w:rFonts w:ascii="仿宋_GB2312" w:hAnsi="仿宋_GB2312" w:cs="仿宋_GB2312" w:eastAsia="仿宋_GB2312"/>
        </w:rPr>
        <w:t>2、法定代表人证明或授权委托书：投标人应授权合法的人员参加投标，非法定代表人参加投标的，须提供法定代表人授权书(附法定代表人、被授权人身份证复印件);法定代表人直接参加投标的，须提供法定代表人身份证明(附法定代表人身份证复印件)；</w:t>
      </w:r>
    </w:p>
    <w:p>
      <w:pPr>
        <w:pStyle w:val="null3"/>
      </w:pPr>
      <w:r>
        <w:rPr>
          <w:rFonts w:ascii="仿宋_GB2312" w:hAnsi="仿宋_GB2312" w:cs="仿宋_GB2312" w:eastAsia="仿宋_GB2312"/>
        </w:rPr>
        <w:t>3、资格承诺函：投标人应具备健全的财务会计制度、履行合同所需的设备和专业技术能力、 依法缴纳税收和社会保障资金，以及参加本项目采购活动前3年内经营活动无重大违法记录，拟参与本项目的供应商应提供《汉中市政府采购供应商资格承诺函》。</w:t>
      </w:r>
    </w:p>
    <w:p>
      <w:pPr>
        <w:pStyle w:val="null3"/>
      </w:pPr>
      <w:r>
        <w:rPr>
          <w:rFonts w:ascii="仿宋_GB2312" w:hAnsi="仿宋_GB2312" w:cs="仿宋_GB2312" w:eastAsia="仿宋_GB2312"/>
        </w:rPr>
        <w:t>4、供应商控股关系：单位负责人为同一人或者存在直接控股、管理关系的不同供应商，不得参加同一合同项下的政府采购活动。（提供加盖公章的声明函）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勉县国有黑潭子林场</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勉县新街子镇黑滩子村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18509161775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陕西锦鑫睿泽项目管理有限公司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陕西省汉中市汉台区陕西省汉中市汉台区汉中路街道办事处民主街明珠小区54号楼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17729067337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0916-8652200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开户名称：陕西锦鑫睿泽项目管理有限公司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银行账号：2706012401201000009552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代理服务费收费标准：参照《招标代理服务收费管理暂行办法》的通知（计价格[2002]1980号）和《关于招标代理服务收费有关问题的通知》（发改办价格[2003]857号）的有关规定按标准收取代理服务费。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勉县国有黑潭子林场</w:t>
      </w:r>
      <w:r>
        <w:rPr>
          <w:rFonts w:ascii="仿宋_GB2312" w:hAnsi="仿宋_GB2312" w:cs="仿宋_GB2312" w:eastAsia="仿宋_GB2312"/>
        </w:rPr>
        <w:t>和</w:t>
      </w:r>
      <w:r>
        <w:rPr>
          <w:rFonts w:ascii="仿宋_GB2312" w:hAnsi="仿宋_GB2312" w:cs="仿宋_GB2312" w:eastAsia="仿宋_GB2312"/>
        </w:rPr>
        <w:t>陕西锦鑫睿泽项目管理有限公司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勉县国有黑潭子林场</w:t>
      </w:r>
      <w:r>
        <w:rPr>
          <w:rFonts w:ascii="仿宋_GB2312" w:hAnsi="仿宋_GB2312" w:cs="仿宋_GB2312" w:eastAsia="仿宋_GB2312"/>
        </w:rPr>
        <w:t>负责解释。除上述招标文件内容，其他内容由</w:t>
      </w:r>
      <w:r>
        <w:rPr>
          <w:rFonts w:ascii="仿宋_GB2312" w:hAnsi="仿宋_GB2312" w:cs="仿宋_GB2312" w:eastAsia="仿宋_GB2312"/>
        </w:rPr>
        <w:t>陕西锦鑫睿泽项目管理有限公司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勉县国有黑潭子林场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陕西锦鑫睿泽项目管理有限公司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按照国家现行有关规定、竞争性磋商文件的技术服务要求、成交供应商的响应文件应答及合同约定进行验收。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联系人：刘女士</w:t>
      </w:r>
    </w:p>
    <w:p>
      <w:pPr>
        <w:pStyle w:val="null3"/>
      </w:pPr>
      <w:r>
        <w:rPr>
          <w:rFonts w:ascii="仿宋_GB2312" w:hAnsi="仿宋_GB2312" w:cs="仿宋_GB2312" w:eastAsia="仿宋_GB2312"/>
        </w:rPr>
        <w:t>联系电话：17729067337</w:t>
      </w:r>
    </w:p>
    <w:p>
      <w:pPr>
        <w:pStyle w:val="null3"/>
      </w:pPr>
      <w:r>
        <w:rPr>
          <w:rFonts w:ascii="仿宋_GB2312" w:hAnsi="仿宋_GB2312" w:cs="仿宋_GB2312" w:eastAsia="仿宋_GB2312"/>
        </w:rPr>
        <w:t>地址：汉中市汉台区天汉文化产业园A6-A7号楼二楼D-07</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本项目作业面积6000亩，项目共计采伐各类树种230362株，采伐总蓄积 4819.3m³，其中生长伐采伐蓄积量 2213.5m³，疏伐采伐蓄积量 378.3m³，卫生伐采伐蓄积量 2227.5m³。割灌除草及修枝综合抚育面积 6000亩。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2,100,000.00</w:t>
      </w:r>
    </w:p>
    <w:p>
      <w:pPr>
        <w:pStyle w:val="null3"/>
      </w:pPr>
      <w:r>
        <w:rPr>
          <w:rFonts w:ascii="仿宋_GB2312" w:hAnsi="仿宋_GB2312" w:cs="仿宋_GB2312" w:eastAsia="仿宋_GB2312"/>
        </w:rPr>
        <w:t>采购包最高限价（元）: 2,100,000.00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勉县2025年中央财政森林修复项目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标的名称：勉县2025年中央财政森林修复项目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一、项目名称 勉县2025年中央财政森林修复项目</w:t>
            </w:r>
          </w:p>
          <w:p>
            <w:pPr>
              <w:pStyle w:val="null3"/>
            </w:pPr>
            <w:r>
              <w:rPr>
                <w:rFonts w:ascii="仿宋_GB2312" w:hAnsi="仿宋_GB2312" w:cs="仿宋_GB2312" w:eastAsia="仿宋_GB2312"/>
              </w:rPr>
              <w:t>二、项目概况 1.项目实施地点：汉中市勉县定军山镇左右所村。 2.建设规模：勉县2025年中央财政森林抚育项目建设总规模为森林修复6000亩。 3.项目实施单位：勉县国有黑潭子林场</w:t>
            </w:r>
          </w:p>
          <w:p>
            <w:pPr>
              <w:pStyle w:val="null3"/>
            </w:pPr>
            <w:r>
              <w:rPr>
                <w:rFonts w:ascii="仿宋_GB2312" w:hAnsi="仿宋_GB2312" w:cs="仿宋_GB2312" w:eastAsia="仿宋_GB2312"/>
              </w:rPr>
              <w:t>三、工作内容 本项目作业面积6000亩，项目共计采伐各类树种230362株，采伐总蓄积 4819.3m³，其中生长伐采伐蓄积量 2213.5m³，疏伐采伐蓄积量 378.3m³，卫生伐采伐蓄积量 2227.5m³。割灌除草及修枝综合抚育面积 6000亩。</w:t>
            </w:r>
          </w:p>
          <w:p>
            <w:pPr>
              <w:pStyle w:val="null3"/>
            </w:pPr>
            <w:r>
              <w:rPr>
                <w:rFonts w:ascii="仿宋_GB2312" w:hAnsi="仿宋_GB2312" w:cs="仿宋_GB2312" w:eastAsia="仿宋_GB2312"/>
              </w:rPr>
              <w:t>1.疏伐，抚育后的林分应当达到以下要求： （1）林分郁闭度不低于 0.6； （2）林分目的树种和辅助树种的林木株数所占林分总株数的比例不减少； （3）林分目的树种平均胸径不低于采伐前平均胸径； （4）林木分布均匀，不造成林窗、林中空地等； （5）林木株数不少于该森林类型、生长发育阶段、立地条件的最低保留株数。</w:t>
            </w:r>
          </w:p>
          <w:p>
            <w:pPr>
              <w:pStyle w:val="null3"/>
            </w:pPr>
            <w:r>
              <w:rPr>
                <w:rFonts w:ascii="仿宋_GB2312" w:hAnsi="仿宋_GB2312" w:cs="仿宋_GB2312" w:eastAsia="仿宋_GB2312"/>
              </w:rPr>
              <w:t>2.生长伐，抚育后的林分应当达到以下要求： （1）林分郁闭度不低于 0.6； （2）林分目标树数量，或Ⅰ级木、Ⅱ级木数量不减少； （3）林分平均胸径不低于采伐前平均胸径； （4）林木分布均匀，不造成林窗、林中空地等。对于天然林，如果出现林窗或林中空地则应进行补植，但因本项目修复林分为人工飞播林，且主要树种为侧柏，天然更新能力较强，经调查，林下侧柏幼树幼苗数量繁多，密度较大，现存林内空窗处亦有不少实生幼苗，所以本次森林抚育作业无补植补栽； （5）林木株数不少于该森林类型、生长发育阶段、立地条件的最低保留株数。</w:t>
            </w:r>
          </w:p>
          <w:p>
            <w:pPr>
              <w:pStyle w:val="null3"/>
            </w:pPr>
            <w:r>
              <w:rPr>
                <w:rFonts w:ascii="仿宋_GB2312" w:hAnsi="仿宋_GB2312" w:cs="仿宋_GB2312" w:eastAsia="仿宋_GB2312"/>
              </w:rPr>
              <w:t>3.卫生伐，采取卫生伐抚育后的林分应达到以下要求： （1）没有受林业检疫性有害生物及林业补充检疫性有害生物危害的林木； （2）蛀干类有虫株率在 20%（含）以下； （3）感病指数在 50（含）以下。感病指数按 GB/T 15776 的规定执行； （4）除非严重受灾，采伐后郁闭度应保持在 0.5 以上。</w:t>
            </w:r>
          </w:p>
          <w:p>
            <w:pPr>
              <w:pStyle w:val="null3"/>
            </w:pPr>
            <w:r>
              <w:rPr>
                <w:rFonts w:ascii="仿宋_GB2312" w:hAnsi="仿宋_GB2312" w:cs="仿宋_GB2312" w:eastAsia="仿宋_GB2312"/>
              </w:rPr>
              <w:t>4.采伐技术： 根据《森林采伐作业规程》等操作规程执行。抚育小班都需要进行定向培育，除保留木和其他有保留价值的树种以外，其它生长不良的树种、单株在不影响生态环境的情况下都需要砍伐，为目标树留下生长空间。同时间伐纯林、过密林、丛生树等影响目标树种健康生长树种。其具体方式、强度依据各小班林分状况作业设计为准。 针对抚育作业区内现有苗木分布密度不均的情况，在正式施工作业前，由培训合格的施工班组技术人员进行青山检尺工作，在“保大伐小、存优去劣”的原则下，具体情况具体确定，按先标号后砍伐的方法对需间伐的非建设目标木、密度过大区域、病死枯树、散（丛）生木等树木予以标记，按照安全方便的原则，由专业间伐队伍人员有顺序地间伐工作。原则上，对目前长势良好、径级较大的目标树种（如巴山松、华山松、杨树、栎类等）尽可能保留作为优良采种母树，仅进行修枝、抚育等。 分叉树处理：针对需保留但目前分叉生长的目标树，原则上保留直径较大的树干，在分叉处将另一根支干平整锯断，并统一长短，并在创口处涂抹防腐剂，保留的主干部分进行修枝作业。 采伐强度控制在10%左右，采伐时避免采伐“目标树”、要严格做到“砍小留大，砍劣留优、砍密留疏”，严禁“拔大毛”或单纯以取材为目的，避免过伐、滥伐，注意保留“生态目标树”。 采伐工艺：选择原木工艺类型，即采伐木标记、伐木、打枝、造材、集材、清林等。 标记：技术人员对伐区内需采伐的立木进行标号。 伐木：人工操作油锯伐木，严格控制树倒方向，保证工人安全；伐桩高度不得超过 5cm；不得损伤保留木。 打枝：采伐木伐倒后，用弯刀或小斧修枝，不能逆向修枝。 青山检尺：对 5cm 以上采伐的乔木，技术人员立即进行登记填表，做好青山检尺台账。</w:t>
            </w:r>
          </w:p>
          <w:p>
            <w:pPr>
              <w:pStyle w:val="null3"/>
            </w:pPr>
            <w:r>
              <w:rPr>
                <w:rFonts w:ascii="仿宋_GB2312" w:hAnsi="仿宋_GB2312" w:cs="仿宋_GB2312" w:eastAsia="仿宋_GB2312"/>
              </w:rPr>
              <w:t>5.割灌除草：割灌除草面积 6000 亩。 对象：下木生长旺盛、与林木生长争水争肥严重的中龄林中进行。清除妨碍林木、幼树、幼苗生长的灌木、藤条和杂草。 方式：针对目标树受冠藤杂草影响的林分，对于影响树木生长的幼树、幼苗、藤条、杂草等杂灌木，原则上胸径五厘米以下的杂灌全部清除，但长势良好的目标树种幼树、幼苗及生态脆弱处（如岩石堆上）的杂灌可适当保留。对于影响保留目标树生长的杂竹，适当清理至不影响树木生长即可。 方法：采用人工、机械割灌修枝方法，不采用化学割灌除草方式。 技术要求：作业时，应保护林地上的珍稀濒危树木及有培育潜力树种的幼树、幼苗，以利于调整林分结构和密度。</w:t>
            </w:r>
          </w:p>
          <w:p>
            <w:pPr>
              <w:pStyle w:val="null3"/>
            </w:pPr>
            <w:r>
              <w:rPr>
                <w:rFonts w:ascii="仿宋_GB2312" w:hAnsi="仿宋_GB2312" w:cs="仿宋_GB2312" w:eastAsia="仿宋_GB2312"/>
              </w:rPr>
              <w:t>6.修枝：修枝面积 6000 亩。 对象：对项目区自然整枝不良、通风透光不畅的林分进行修枝。 方式：采取平切法（贴近树干修枝），要求切口平滑，不撕裂树皮，重点针对枝条、死枝过多的林木。 技术要求：修去枯死枝、树冠下部 1 轮～2 轮侧枝以及主干上新萌发的枝芽。修枝后保留冠长不低于树高的 1/2，枝桩尽量修平，剪口不能伤害树干的韧皮部和木质部，如创面过大则需要在创面上涂抹防腐剂。因培育范围坡度较大，地势陡峭，为保障施工人员的人身安全，针对主干达到 6 米以上的林木不进行修枝处理。修枝季节秋末春初。</w:t>
            </w:r>
          </w:p>
          <w:p>
            <w:pPr>
              <w:pStyle w:val="null3"/>
            </w:pPr>
            <w:r>
              <w:rPr>
                <w:rFonts w:ascii="仿宋_GB2312" w:hAnsi="仿宋_GB2312" w:cs="仿宋_GB2312" w:eastAsia="仿宋_GB2312"/>
              </w:rPr>
              <w:t>7.剩余物处理：采伐剩余物按照抚育技术规程，在林内沿等高线就近，还需平铺或堆垛处理，采伐剩余物不出材。针对林间采伐的枯死松树处理方式包括烧毁处理和钢丝网罩处理，作业要求如下： （1）烧毁处理 适用范围：适用于所有区域。 作业要求：就地烧毁采伐清理的枯死松木及直径超过1厘米的枝丫，焚烧现场要实行全过程旁站式监管，确保用火安全。在防火期内和可能存在火灾隐患的区域，要在严格遵守当地森林防火有关要求的前提下，采取烧毁处理。 （2）钢丝网罩处理 适用范围：山高坡陡、不通道路、人迹罕至，且不具备粉碎（削片）、旋切、烧毁等除害处理条件的疫情除治区域。 作业要求：使用钢丝直径≥0.17 毫米，网目数≥16 目的锻压钢丝网罩严密包裹采伐清理的枯死松木及直径超过1厘米的枝丫，并进行严密锁边，不定期安排人员进行上山巡查。</w:t>
            </w:r>
          </w:p>
          <w:p>
            <w:pPr>
              <w:pStyle w:val="null3"/>
            </w:pPr>
            <w:r>
              <w:rPr>
                <w:rFonts w:ascii="仿宋_GB2312" w:hAnsi="仿宋_GB2312" w:cs="仿宋_GB2312" w:eastAsia="仿宋_GB2312"/>
              </w:rPr>
              <w:t>8、 固定标准地 本次森林修复布设固定标准地共 5 组，每组标准地包含抚育作业标准地和不作业对照标准地各一个，每个标准地面积为1亩，为绩效目标生态效益和持续性评价提供数据支撑。每组标准地林分因子、立地条件基本相同。5组标准地分别位于 8 小班、26 小班、28 小班、35 小班和 36 小班。</w:t>
            </w:r>
          </w:p>
          <w:p>
            <w:pPr>
              <w:pStyle w:val="null3"/>
            </w:pPr>
            <w:r>
              <w:rPr>
                <w:rFonts w:ascii="仿宋_GB2312" w:hAnsi="仿宋_GB2312" w:cs="仿宋_GB2312" w:eastAsia="仿宋_GB2312"/>
              </w:rPr>
              <w:t>9、配套设施 9.1宣传牌 建设项目宣传牌一面，为2025年度森林修复项目的标志性展示点。通过宣传牌上的信息展示，有效传达森林修复项目的目标、意义、成果等内容，增强公众对项目的了解。 1、建设地点：宣传牌建设地点于1林班30小班林区公路旁，初定宣传牌，坐标为：X=371404，Y=3669064，施工阶段可根据现场情况调整位置。 2、材质和规格：钢架结构，版面规格为 2×3m，距地面 1m 高。 3、信息展示：版面上用较大字体标注“勉县2025年中央财政森林修复项目”标题，下方详细介绍项目的工程名称、建设内容、建设规模、建设地点、建设年限、建设单位、项目主管单位、设计单位、工程总投资、资金来源、工程效益等。 9.2小班标识牌 在每个小班显著位置设置标识牌，准确标注项目名称、林班号、小班号、小班面积、抚育方式等关键信息，提升森林修复项目管理的科学性与规范化水平。 1、安装位置选择：在每个小班的边缘，选择地势开阔、无遮挡且易于观察的位置，确保从多个角度都能清晰看到标识牌。 2、材质：采用防腐材质，确保在户外环境下耐用且不易损坏。 3、尺寸：长60cm，宽40cm，厚1cm。 4、颜色：底色为米白色，文字颜色为深绿色，与森林环境相融合。 5、内容排版： 顶端用较大字体标注“森林抚育项目”。 第二行写“林班号：[具体林班号]”。 第三行写“小班号：[具体小班号]”。 第四行写“小班面积：[X]亩”。 第五行写“抚育方式”。 6、安装方式： 将小班标识牌固定于小班边缘地势开阔、无遮挡且易于观察的位置的树干上，用钉子钉牢。 9.3固定标准地标识牌 在每个对照标准地显著位置设置标准地标识牌，标注“抚育标准地”或“对照标准地”、林班号、小班号、标准地面积、抚育标准地还应标注抚育方式、抚育时间等关键信息。 1、安装位置选择：在每个标准地的边缘，选择无遮挡且易于观察的位置，确保从多个角度都能清晰看到标识牌。 2、材质：采用防腐材质，确保在户外环境下耐用且不易损坏。 3、尺寸：长60cm，宽40cm，厚1cm。 4、颜色：底色为米白色，文字颜色为深绿色，与森林环境相融合。 5、内容排版：顶端用较大字体标注“抚育标准地”或“对照标准地”。 第二行写“林班号-小班号”。 第三行写“面积：1.0 亩”。 第四行标注：抚育方式。 第五行标注：标准地设置时间。 6、安装方式：将小班标识牌固定于标准地边缘地势开阔、无遮挡且易于观察的位置的树干上，用钉子钉牢。</w:t>
            </w:r>
          </w:p>
          <w:p>
            <w:pPr>
              <w:pStyle w:val="null3"/>
            </w:pPr>
            <w:r>
              <w:rPr>
                <w:rFonts w:ascii="仿宋_GB2312" w:hAnsi="仿宋_GB2312" w:cs="仿宋_GB2312" w:eastAsia="仿宋_GB2312"/>
              </w:rPr>
              <w:t>四、标准要求 符合国家森林抚育规程标准等国家现行有关规定。</w:t>
            </w:r>
          </w:p>
          <w:p>
            <w:pPr>
              <w:pStyle w:val="null3"/>
            </w:pPr>
            <w:r>
              <w:rPr>
                <w:rFonts w:ascii="仿宋_GB2312" w:hAnsi="仿宋_GB2312" w:cs="仿宋_GB2312" w:eastAsia="仿宋_GB2312"/>
              </w:rPr>
              <w:t>五、服务期限 签订合同后90日历天内完成。</w:t>
            </w:r>
          </w:p>
          <w:p>
            <w:pPr>
              <w:pStyle w:val="null3"/>
            </w:pPr>
            <w:r>
              <w:rPr>
                <w:rFonts w:ascii="仿宋_GB2312" w:hAnsi="仿宋_GB2312" w:cs="仿宋_GB2312" w:eastAsia="仿宋_GB2312"/>
              </w:rPr>
              <w:t>六、项目总体目标 项目总体目标是调节和缓和林木间的竞争关系，提高林木生长和林分质量。通过采取间伐、修枝、割灌除草等积极有效的抚育方式，调整森林组成、年龄和空间结构，促进森林、林木生长发育，丰富生物多样性，维护森林健康，充分发挥森林多种功能，协调生态、社会、经济效益，培育健康稳定、优质高效的森林生态系统。</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服务该项目团队成员应不少于4人，其中中级及以上职称不少于2人</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有符合完成本项目服务内容的设备设施</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签订合同后90日历天内完成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预付款，签订合同后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进度款，完成主体抚育工作（伐树修枝及割灌除草总量大于等于80%），经采购人现场验收合格后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结算款，竣工验收合格后，且承包人提交完整结算资料后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乙方未全面履行合同义务或者发生违约，甲方有权终止合同，依法向乙方进行经济索赔，并报请政府采购监督管理机关依法进行相应的行政处罚。甲方违约的，应当赔偿给乙方造成的经济损失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投标人为具有独立承担民事责任能力的法人或其他组织或自然人，并出具营 业执照（事业法人证）或证明文件或自然人的身份证明；</w:t>
            </w:r>
          </w:p>
        </w:tc>
        <w:tc>
          <w:tcPr>
            <w:tcW w:type="dxa" w:w="1661"/>
          </w:tcPr>
          <w:p>
            <w:pPr>
              <w:pStyle w:val="null3"/>
            </w:pPr>
            <w:r>
              <w:rPr>
                <w:rFonts w:ascii="仿宋_GB2312" w:hAnsi="仿宋_GB2312" w:cs="仿宋_GB2312" w:eastAsia="仿宋_GB2312"/>
              </w:rPr>
              <w:t>服务内容及服务邀请应答表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法定代表人证明或授权委托书</w:t>
            </w:r>
          </w:p>
        </w:tc>
        <w:tc>
          <w:tcPr>
            <w:tcW w:type="dxa" w:w="3322"/>
          </w:tcPr>
          <w:p>
            <w:pPr>
              <w:pStyle w:val="null3"/>
            </w:pPr>
            <w:r>
              <w:rPr>
                <w:rFonts w:ascii="仿宋_GB2312" w:hAnsi="仿宋_GB2312" w:cs="仿宋_GB2312" w:eastAsia="仿宋_GB2312"/>
              </w:rPr>
              <w:t>投标人应授权合法的人员参加投标，非法定代表人参加投标的，须提供法定代表人授权书(附法定代表人、被授权人身份证复印件);法定代表人直接参加投标的，须提供法定代表人身份证明(附法定代表人身份证复印件)；</w:t>
            </w:r>
          </w:p>
        </w:tc>
        <w:tc>
          <w:tcPr>
            <w:tcW w:type="dxa" w:w="1661"/>
          </w:tcPr>
          <w:p>
            <w:pPr>
              <w:pStyle w:val="null3"/>
            </w:pPr>
            <w:r>
              <w:rPr>
                <w:rFonts w:ascii="仿宋_GB2312" w:hAnsi="仿宋_GB2312" w:cs="仿宋_GB2312" w:eastAsia="仿宋_GB2312"/>
              </w:rPr>
              <w:t>服务内容及服务邀请应答表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投标人应具备健全的财务会计制度、履行合同所需的设备和专业技术能力、 依法缴纳税收和社会保障资金，以及参加本项目采购活动前3年内经营活动无重大违法记录，拟参与本项目的供应商应提供《汉中市政府采购供应商资格承诺函》。</w:t>
            </w:r>
          </w:p>
        </w:tc>
        <w:tc>
          <w:tcPr>
            <w:tcW w:type="dxa" w:w="1661"/>
          </w:tcPr>
          <w:p>
            <w:pPr>
              <w:pStyle w:val="null3"/>
            </w:pPr>
            <w:r>
              <w:rPr>
                <w:rFonts w:ascii="仿宋_GB2312" w:hAnsi="仿宋_GB2312" w:cs="仿宋_GB2312" w:eastAsia="仿宋_GB2312"/>
              </w:rPr>
              <w:t>服务内容及服务邀请应答表 投标函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单位负责人为同一人或者存在直接控股、管理关系的不同供应商，不得参加同一合同项下的政府采购活动。（提供加盖公章的声明函）</w:t>
            </w:r>
          </w:p>
        </w:tc>
        <w:tc>
          <w:tcPr>
            <w:tcW w:type="dxa" w:w="1661"/>
          </w:tcPr>
          <w:p>
            <w:pPr>
              <w:pStyle w:val="null3"/>
            </w:pPr>
            <w:r>
              <w:rPr>
                <w:rFonts w:ascii="仿宋_GB2312" w:hAnsi="仿宋_GB2312" w:cs="仿宋_GB2312" w:eastAsia="仿宋_GB2312"/>
              </w:rPr>
              <w:t>服务内容及服务邀请应答表 投标函 商务应答表</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投标函 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一、评审内容：投标人针对本项目提出适用于本项目的服务方案。包括但不限于： ①项目目标及认知； ②总体服务方案以及森林修复具体作业方法（疏伐、生长伐、卫生伐、割灌除草、修枝、抚育剩余物处理、宣传牌建设等内容）； ③质量保证方案（质量保证体系、质量保证的具体措施等内容）； ④实施进度（项目实施进度计划、项目进度保障措施等内容）； ⑤野外作业安全措施及应急管理方案（森林防火措施、野外作业安全保障措施、野外作业应急管理方案等内容）； ⑥生物多样性保护与环境保护措施（生物多样性保护措施、环境保护措施等内容）； 二、评审标准： 1、完整性：方案全面，对各方面内容中有详细描述； 2、合理性：方案实施步骤科学清晰、合理可行； 3、针对性：紧扣项目实际情况，能根据采购人的具体要求制定个性化服务方案。 三、赋分（满分57分） ①项目目标及认知：每满足一个评审标准，得3分，满分9分； ②总体服务方案以及森林修复具体作业方法：每满足一个评审标准，得4分，满分12分； ③质量保证方案：每满足一个评审标准，得3分，满分9分； ④实施进度：每满足一个评审标准，得3分，满分9分； ⑤野外作业安全措施及应急管理方案：每满足一个评审标准，得3分，满分9分； ⑥生物多样性保护与环境保护措施：每满足一个评审标准，得3分，满分9分；</w:t>
            </w:r>
          </w:p>
        </w:tc>
        <w:tc>
          <w:tcPr>
            <w:tcW w:type="dxa" w:w="831"/>
          </w:tcPr>
          <w:p>
            <w:pPr>
              <w:pStyle w:val="null3"/>
              <w:jc w:val="right"/>
            </w:pPr>
            <w:r>
              <w:rPr>
                <w:rFonts w:ascii="仿宋_GB2312" w:hAnsi="仿宋_GB2312" w:cs="仿宋_GB2312" w:eastAsia="仿宋_GB2312"/>
              </w:rPr>
              <w:t>57.0000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工器具配置</w:t>
            </w:r>
          </w:p>
        </w:tc>
        <w:tc>
          <w:tcPr>
            <w:tcW w:type="dxa" w:w="2492"/>
          </w:tcPr>
          <w:p>
            <w:pPr>
              <w:pStyle w:val="null3"/>
            </w:pPr>
            <w:r>
              <w:rPr>
                <w:rFonts w:ascii="仿宋_GB2312" w:hAnsi="仿宋_GB2312" w:cs="仿宋_GB2312" w:eastAsia="仿宋_GB2312"/>
              </w:rPr>
              <w:t>一、评审内容：投标人针对本项目提出适用于本项目的工器具配置方案，包括但不限于：①工器具配置方案；②工器具维护方案；③工器具供应保障措施。 二、评审标准： 1、完整性：方案全面，对评审内容中的各项要求描述详细； 2、可实施性：切合本项目实际情况，实施步骤清晰、合理； 3、针对性：方案能够紧扣项目实际情况，内容科学合理。 三、赋分（满分9分） ①工器具配置方案：每满足一个评审标准，得1分，满分3分； ②工器具维护方案：每满足一个评审标准，得1分，满分3分； ③工器具供应保障措施：每满足一个评审标准，得1分，满分3分；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一、评审内容：投标人针对本项目提出适用于本项目的售后服务方案，包括但不限于：①售后服务方案（对森林修复效果的验收、以及出现特殊情况的后期管护等）。 二、评审标准： 1、完整性：方案全面，对评审内容中的各项要求描述详细； 2、可实施性：切合本项目实际情况，实施步骤清晰、合理； 三、赋分（满分12分） ①售后服务方案：每满足一个评审标准，得6分，满分12分；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投标人提供 2022 年 1 月 1 日至今完成的类似业绩证明，每提供一份计 2 分，最高计8 分；（以合同签订日期为准） 注：业绩须是供应商完成的类似项目，以加盖公章的成交通知书或协议书（合同）扫描件为准。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近年年类似业绩一览表01.docx</w:t>
            </w:r>
          </w:p>
          <w:p>
            <w:pPr>
              <w:pStyle w:val="null3"/>
            </w:pPr>
            <w:r>
              <w:rPr>
                <w:rFonts w:ascii="仿宋_GB2312" w:hAnsi="仿宋_GB2312" w:cs="仿宋_GB2312" w:eastAsia="仿宋_GB2312"/>
              </w:rPr>
              <w:t>投标人应提交的相关资格证明材料.docx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配备技术人员具备林业类相关专业中级及以上技术职称证书。提供一个中级职称得1分；提供一个高级职称得1.5分，满分4分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拟投入本项目人员配置情况表.docx</w:t>
            </w:r>
          </w:p>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满足招标文件要求且投标价格最低的有效投标报价为评标基准 价，其价格分为满分。其他投标人的价格分统一按照下列公式 计算：投标报价得分=（评标基准价/投标报价） ×10 （本项目为专门面向中小企业采购项目，不再执行价格评审优 惠扶持政策）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详见附件：拟投入本项目人员配置情况表.docx</w:t>
      </w:r>
    </w:p>
    <w:p>
      <w:pPr>
        <w:pStyle w:val="null3"/>
        <w:ind w:firstLine="960"/>
      </w:pPr>
      <w:r>
        <w:rPr>
          <w:rFonts w:ascii="仿宋_GB2312" w:hAnsi="仿宋_GB2312" w:cs="仿宋_GB2312" w:eastAsia="仿宋_GB2312"/>
        </w:rPr>
        <w:t>详见附件：近年年类似业绩一览表01.docx</w:t>
      </w:r>
    </w:p>
    <w:p>
      <w:pPr>
        <w:pStyle w:val="null3"/>
        <w:ind w:firstLine="960"/>
      </w:pPr>
      <w:r>
        <w:rPr>
          <w:rFonts w:ascii="仿宋_GB2312" w:hAnsi="仿宋_GB2312" w:cs="仿宋_GB2312" w:eastAsia="仿宋_GB2312"/>
        </w:rPr>
        <w:t>详见附件：投标人应提交的相关资格证明材料.docx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