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版本号：ZCBN-勉县-2025-0014920250715001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勉县林权登记数据整合汇交项目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ZCBN-勉县-2025-00149</w:t>
      </w:r>
      <w:r>
        <w:br/>
      </w:r>
      <w:r>
        <w:br/>
      </w:r>
      <w:r>
        <w:br/>
      </w:r>
    </w:p>
    <w:p>
      <w:pPr>
        <w:pStyle w:val="null3"/>
        <w:jc w:val="center"/>
        <w:outlineLvl w:val="2"/>
      </w:pPr>
      <w:r>
        <w:rPr>
          <w:rFonts w:ascii="仿宋_GB2312" w:hAnsi="仿宋_GB2312" w:cs="仿宋_GB2312" w:eastAsia="仿宋_GB2312"/>
          <w:sz w:val="28"/>
          <w:b/>
        </w:rPr>
        <w:t>勉县不动产登记交易服务中心</w:t>
      </w:r>
    </w:p>
    <w:p>
      <w:pPr>
        <w:pStyle w:val="null3"/>
        <w:jc w:val="center"/>
        <w:outlineLvl w:val="2"/>
      </w:pPr>
      <w:r>
        <w:rPr>
          <w:rFonts w:ascii="仿宋_GB2312" w:hAnsi="仿宋_GB2312" w:cs="仿宋_GB2312" w:eastAsia="仿宋_GB2312"/>
          <w:sz w:val="28"/>
          <w:b/>
        </w:rPr>
        <w:t>陕西新言项目管理有限公司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陕西新言项目管理有限公司</w:t>
      </w:r>
      <w:r>
        <w:rPr>
          <w:rFonts w:ascii="仿宋_GB2312" w:hAnsi="仿宋_GB2312" w:cs="仿宋_GB2312" w:eastAsia="仿宋_GB2312"/>
        </w:rPr>
        <w:t>（以下简称“代理机构”）受</w:t>
      </w:r>
      <w:r>
        <w:rPr>
          <w:rFonts w:ascii="仿宋_GB2312" w:hAnsi="仿宋_GB2312" w:cs="仿宋_GB2312" w:eastAsia="仿宋_GB2312"/>
        </w:rPr>
        <w:t>勉县不动产登记交易服务中心</w:t>
      </w:r>
      <w:r>
        <w:rPr>
          <w:rFonts w:ascii="仿宋_GB2312" w:hAnsi="仿宋_GB2312" w:cs="仿宋_GB2312" w:eastAsia="仿宋_GB2312"/>
        </w:rPr>
        <w:t>委托，拟对</w:t>
      </w:r>
      <w:r>
        <w:rPr>
          <w:rFonts w:ascii="仿宋_GB2312" w:hAnsi="仿宋_GB2312" w:cs="仿宋_GB2312" w:eastAsia="仿宋_GB2312"/>
        </w:rPr>
        <w:t>勉县林权登记数据整合汇交项目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ZCBN-勉县-2025-00149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勉县林权登记数据整合汇交项目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涉及勉县全县18个镇办10509宗退耕还林数据，主要完成退耕还林数据整合建库以及数据汇交工作，同时完成后续修改直至达到省不动产登记中心的数据汇交标准。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采购包1（数据整合汇交）：属于专门面向中小企业采购。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合格有效的法人或者其他组织的营业执照等证明文件，自然人的身份证明：提供合格有效的法人或者其他组织的营业执照等证明文件，自然人的身份证明：提供合格有效的法人或者其他组织的营业执照等证明文件，自然人的身份证明：提供合格有效的法人或者其他组织的营业执照等证明文件，自然人的身份证明。</w:t>
      </w:r>
    </w:p>
    <w:p>
      <w:pPr>
        <w:pStyle w:val="null3"/>
      </w:pPr>
      <w:r>
        <w:rPr>
          <w:rFonts w:ascii="仿宋_GB2312" w:hAnsi="仿宋_GB2312" w:cs="仿宋_GB2312" w:eastAsia="仿宋_GB2312"/>
        </w:rPr>
        <w:t>2、法定代表人直接参加磋商的，须出具法人身份证；法定代表人授权代表参加磋商的，须出具法定代表人授权书及授权代表身份证：法定代表人直接参加磋商的，须出具法人身份证；法定代表人授权代表参加磋商的，须出具法定代表人授权书及授权代表身份证。</w:t>
      </w:r>
    </w:p>
    <w:p>
      <w:pPr>
        <w:pStyle w:val="null3"/>
      </w:pPr>
      <w:r>
        <w:rPr>
          <w:rFonts w:ascii="仿宋_GB2312" w:hAnsi="仿宋_GB2312" w:cs="仿宋_GB2312" w:eastAsia="仿宋_GB2312"/>
        </w:rPr>
        <w:t>3、供应商须具有良好的商业信誉和健全的财务会计制度、履行合同所必需的设备和专业技术能力、依法缴纳税收和社会保障金的良好记录，以及参加本项目采购活动前三年内无重大违法活动记录：提供《汉中市政府采购供应商资格承诺函》并加盖公章。</w:t>
      </w:r>
    </w:p>
    <w:p>
      <w:pPr>
        <w:pStyle w:val="null3"/>
      </w:pPr>
      <w:r>
        <w:rPr>
          <w:rFonts w:ascii="仿宋_GB2312" w:hAnsi="仿宋_GB2312" w:cs="仿宋_GB2312" w:eastAsia="仿宋_GB2312"/>
        </w:rPr>
        <w:t>4、本次采购不接受联合体投标.单位负责人为同一人或者存在控股、管理关系的不同单位，不得参加同一项目的投标：本次采购不接受联合体投标.单位负责人为同一人或者存在控股、管理关系的不同单位，不得参加同一项目的投标。</w:t>
      </w:r>
    </w:p>
    <w:p>
      <w:pPr>
        <w:pStyle w:val="null3"/>
      </w:pPr>
      <w:r>
        <w:rPr>
          <w:rFonts w:ascii="仿宋_GB2312" w:hAnsi="仿宋_GB2312" w:cs="仿宋_GB2312" w:eastAsia="仿宋_GB2312"/>
        </w:rPr>
        <w:t>5、供应商须具备测绘乙级及以上级资质：供应商须具备测绘乙级及以上级资质。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勉县不动产登记交易服务中心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勉定军大道政务服务中心二楼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15877303311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陕西新言项目管理有限公司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汉中市汉台区莲湖路银河鱼庄隔壁南井巷东塔社区隔壁院内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09162236366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夏科长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开户名称：陕西新言项目管理有限公司汉中分公司</w:t>
            </w:r>
          </w:p>
          <w:p>
            <w:pPr>
              <w:pStyle w:val="null3"/>
            </w:pPr>
            <w:r>
              <w:rPr>
                <w:rFonts w:ascii="仿宋_GB2312" w:hAnsi="仿宋_GB2312" w:cs="仿宋_GB2312" w:eastAsia="仿宋_GB2312"/>
              </w:rPr>
              <w:t>开户银行：中国工商银行股份有限公司汉中北团结街支行</w:t>
            </w:r>
          </w:p>
          <w:p>
            <w:pPr>
              <w:pStyle w:val="null3"/>
            </w:pPr>
            <w:r>
              <w:rPr>
                <w:rFonts w:ascii="仿宋_GB2312" w:hAnsi="仿宋_GB2312" w:cs="仿宋_GB2312" w:eastAsia="仿宋_GB2312"/>
              </w:rPr>
              <w:t>银行账号：2606050309200290868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代理服务费收费标准：按照国家计委颁发的《采购代理服务收费管理暂行办法》（计价格[2002]1980号）、国家发展改革委员会办公厅颁发的《关于采购代理服务收费有关问题的通知》（发改办价格[2003] 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勉县不动产登记交易服务中心</w:t>
      </w:r>
      <w:r>
        <w:rPr>
          <w:rFonts w:ascii="仿宋_GB2312" w:hAnsi="仿宋_GB2312" w:cs="仿宋_GB2312" w:eastAsia="仿宋_GB2312"/>
        </w:rPr>
        <w:t>和</w:t>
      </w:r>
      <w:r>
        <w:rPr>
          <w:rFonts w:ascii="仿宋_GB2312" w:hAnsi="仿宋_GB2312" w:cs="仿宋_GB2312" w:eastAsia="仿宋_GB2312"/>
        </w:rPr>
        <w:t>陕西新言项目管理有限公司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勉县不动产登记交易服务中心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陕西新言项目管理有限公司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勉县不动产登记交易服务中心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陕西新言项目管理有限公司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陕西新言项目管理有限公司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陕西新言项目管理有限公司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陕西新言项目管理有限公司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联系人：刘先生</w:t>
      </w:r>
    </w:p>
    <w:p>
      <w:pPr>
        <w:pStyle w:val="null3"/>
      </w:pPr>
      <w:r>
        <w:rPr>
          <w:rFonts w:ascii="仿宋_GB2312" w:hAnsi="仿宋_GB2312" w:cs="仿宋_GB2312" w:eastAsia="仿宋_GB2312"/>
        </w:rPr>
        <w:t>联系电话：09162236366</w:t>
      </w:r>
    </w:p>
    <w:p>
      <w:pPr>
        <w:pStyle w:val="null3"/>
      </w:pPr>
      <w:r>
        <w:rPr>
          <w:rFonts w:ascii="仿宋_GB2312" w:hAnsi="仿宋_GB2312" w:cs="仿宋_GB2312" w:eastAsia="仿宋_GB2312"/>
        </w:rPr>
        <w:t>地址：汉中市汉台区莲湖路银河鱼庄隔壁南井巷东塔社区隔壁院内</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涉及勉县全县18个镇办10509宗退耕还林数据，主要完成退耕还林数据整合建库以及数据汇交工作，同时完成后续修改直至达到省不动产登记中心的数据汇交标准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数据整合汇交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标的名称：数据整合汇交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电子化录入（1项）：</w:t>
            </w:r>
          </w:p>
          <w:p>
            <w:pPr>
              <w:pStyle w:val="null3"/>
              <w:jc w:val="both"/>
            </w:pPr>
            <w:r>
              <w:rPr>
                <w:rFonts w:ascii="仿宋_GB2312" w:hAnsi="仿宋_GB2312" w:cs="仿宋_GB2312" w:eastAsia="仿宋_GB2312"/>
                <w:sz w:val="24"/>
              </w:rPr>
              <w:t>对该项目</w:t>
            </w:r>
            <w:r>
              <w:rPr>
                <w:rFonts w:ascii="仿宋_GB2312" w:hAnsi="仿宋_GB2312" w:cs="仿宋_GB2312" w:eastAsia="仿宋_GB2312"/>
                <w:sz w:val="24"/>
              </w:rPr>
              <w:t>10509宗退耕还林纸质档案进行电子化录入，对图纸进行校对，坐标矫正以及矢量化处理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矢量数据整合（1项）：</w:t>
            </w:r>
            <w:r>
              <w:rPr>
                <w:rFonts w:ascii="仿宋_GB2312" w:hAnsi="仿宋_GB2312" w:cs="仿宋_GB2312" w:eastAsia="仿宋_GB2312"/>
                <w:sz w:val="24"/>
              </w:rPr>
              <w:t>对该项目录入的</w:t>
            </w:r>
            <w:r>
              <w:rPr>
                <w:rFonts w:ascii="仿宋_GB2312" w:hAnsi="仿宋_GB2312" w:cs="仿宋_GB2312" w:eastAsia="仿宋_GB2312"/>
                <w:sz w:val="24"/>
              </w:rPr>
              <w:t>10509宗退耕还林数据进行矢量数据整合</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建立数据库（1项）：</w:t>
            </w:r>
            <w:r>
              <w:rPr>
                <w:rFonts w:ascii="仿宋_GB2312" w:hAnsi="仿宋_GB2312" w:cs="仿宋_GB2312" w:eastAsia="仿宋_GB2312"/>
                <w:sz w:val="24"/>
              </w:rPr>
              <w:t>按照省级下发不动产登记数据库标准（林权等扩展内容）》（试行）建成退耕还林不动产登记数据库</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数据汇交（1项）：</w:t>
            </w:r>
            <w:r>
              <w:rPr>
                <w:rFonts w:ascii="仿宋_GB2312" w:hAnsi="仿宋_GB2312" w:cs="仿宋_GB2312" w:eastAsia="仿宋_GB2312"/>
                <w:sz w:val="24"/>
              </w:rPr>
              <w:t>完成数据汇交</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为保证本项目顺利实施，响应供应商应满足国家相关法律法规要求，配备具有相关专业的技术人员。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为保证本项目的顺利实施，响应供应商应满足国家相关法律法规的要求，需保证所涉及本项目设备设施来源渠道合法，配置参数达到响应的标准要求。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勉县不动产登记大厅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提供合格有效的法人或者其他组织的营业执照等证明文件，自然人的身份证明：提供合格有效的法人或者其他组织的营业执照等证明文件，自然人的身份证明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法定代表人直接参加磋商的，须出具法人身份证；法定代表人授权代表参加磋商的，须出具法定代表人授权书及授权代表身份证</w:t>
            </w:r>
          </w:p>
        </w:tc>
        <w:tc>
          <w:tcPr>
            <w:tcW w:type="dxa" w:w="3322"/>
          </w:tcPr>
          <w:p>
            <w:pPr>
              <w:pStyle w:val="null3"/>
            </w:pPr>
            <w:r>
              <w:rPr>
                <w:rFonts w:ascii="仿宋_GB2312" w:hAnsi="仿宋_GB2312" w:cs="仿宋_GB2312" w:eastAsia="仿宋_GB2312"/>
              </w:rPr>
              <w:t>法定代表人直接参加磋商的，须出具法人身份证；法定代表人授权代表参加磋商的，须出具法定代表人授权书及授权代表身份证。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w:t>
            </w:r>
          </w:p>
        </w:tc>
        <w:tc>
          <w:tcPr>
            <w:tcW w:type="dxa" w:w="3322"/>
          </w:tcPr>
          <w:p>
            <w:pPr>
              <w:pStyle w:val="null3"/>
            </w:pPr>
            <w:r>
              <w:rPr>
                <w:rFonts w:ascii="仿宋_GB2312" w:hAnsi="仿宋_GB2312" w:cs="仿宋_GB2312" w:eastAsia="仿宋_GB2312"/>
              </w:rPr>
              <w:t>提供《汉中市政府采购供应商资格承诺函》并加盖公章。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本次采购不接受联合体投标.单位负责人为同一人或者存在控股、管理关系的不同单位，不得参加同一项目的投标</w:t>
            </w:r>
          </w:p>
        </w:tc>
        <w:tc>
          <w:tcPr>
            <w:tcW w:type="dxa" w:w="3322"/>
          </w:tcPr>
          <w:p>
            <w:pPr>
              <w:pStyle w:val="null3"/>
            </w:pPr>
            <w:r>
              <w:rPr>
                <w:rFonts w:ascii="仿宋_GB2312" w:hAnsi="仿宋_GB2312" w:cs="仿宋_GB2312" w:eastAsia="仿宋_GB2312"/>
              </w:rPr>
              <w:t>本次采购不接受联合体投标.单位负责人为同一人或者存在控股、管理关系的不同单位，不得参加同一项目的投标。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供应商须具备测绘乙级及以上级资质</w:t>
            </w:r>
          </w:p>
        </w:tc>
        <w:tc>
          <w:tcPr>
            <w:tcW w:type="dxa" w:w="3322"/>
          </w:tcPr>
          <w:p>
            <w:pPr>
              <w:pStyle w:val="null3"/>
            </w:pPr>
            <w:r>
              <w:rPr>
                <w:rFonts w:ascii="仿宋_GB2312" w:hAnsi="仿宋_GB2312" w:cs="仿宋_GB2312" w:eastAsia="仿宋_GB2312"/>
              </w:rPr>
              <w:t>供应商须具备测绘乙级及以上级资质。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磋商响应文件签署及盖章</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拟派项目组人员一览表 服务内容及服务邀请应答表 保证金汇款声明函 中小企业声明函 商务应答表 供应商应提交的相关资格证明材料 报价表 响应文件封面 残疾人福利性单位声明函 服务方案 标的清单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响应文件是否符合法律、法规和磋商文件中规定的其他实质性要求</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响应文件封面 保证金汇款声明函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采购人要求的服务内容及服务工作要求制订切实可行的服务方案和技术方案。方案科学合理、切实可行，能保证项目的顺利开展计（10-15]分，方案完整可行，基本满足采购人需求计（7-10]分；方案基本合理可行计（4-7]分；方案简单、内容空泛，不利于项目实施计（0-4]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技术方法</w:t>
            </w:r>
          </w:p>
        </w:tc>
        <w:tc>
          <w:tcPr>
            <w:tcW w:type="dxa" w:w="2492"/>
          </w:tcPr>
          <w:p>
            <w:pPr>
              <w:pStyle w:val="null3"/>
            </w:pPr>
            <w:r>
              <w:rPr>
                <w:rFonts w:ascii="仿宋_GB2312" w:hAnsi="仿宋_GB2312" w:cs="仿宋_GB2312" w:eastAsia="仿宋_GB2312"/>
              </w:rPr>
              <w:t>针对本项目拟投入技术、手段及方法，完全满足项目需求计（5-8]分；基本满足项目需求计（2-5]分；不能完全满足项目需求计（0-2]分，未提供不得分。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能够按照工作内容，制定工作计划，时间安排合理，方法得当，可行性强，完全满足采购人的要求计（7-10]分；流程基本全面，满足采购人要求计（3-7]分；技术方法及流程不完善，不利于项目实施的计（0-3]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有详细、具体、可行的质量保障方案,质量保障方案有总目标和质量控制分解目标。质量保证方案详尽合理，切实可行计（7-10]分；质量保证方案较完整、基本满足采购人要求计（4-7]分；质量保证方案基本完整，但存在缺漏项计（2-4]分；质量保证方案不全，不利于项目实施计（0-2]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关键技术问题</w:t>
            </w:r>
          </w:p>
        </w:tc>
        <w:tc>
          <w:tcPr>
            <w:tcW w:type="dxa" w:w="2492"/>
          </w:tcPr>
          <w:p>
            <w:pPr>
              <w:pStyle w:val="null3"/>
            </w:pPr>
            <w:r>
              <w:rPr>
                <w:rFonts w:ascii="仿宋_GB2312" w:hAnsi="仿宋_GB2312" w:cs="仿宋_GB2312" w:eastAsia="仿宋_GB2312"/>
              </w:rPr>
              <w:t>对本项目顺利实施过程中的重点、难点问题有相应的解决方案及保障措施，方案及措施科学完善、切实可行，能保障项目顺利实施计（5-10]分；方案及措施完整，能基本保障项目实施计（2-5]分；方案简单、内容空泛，不利于项目实施计（0-2]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提供完善的数据安全保密措施，保密措施详细，措施科学合理，保密性强，得（3-5]分；保密措施基本完善，措施内容合理，达到保密性要求，得（0-3]分；未提供不得分。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有明确具体的售后服务承诺，承诺可行，合理。按其响应程度计0-7分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人员资质</w:t>
            </w:r>
          </w:p>
        </w:tc>
        <w:tc>
          <w:tcPr>
            <w:tcW w:type="dxa" w:w="2492"/>
          </w:tcPr>
          <w:p>
            <w:pPr>
              <w:pStyle w:val="null3"/>
            </w:pPr>
            <w:r>
              <w:rPr>
                <w:rFonts w:ascii="仿宋_GB2312" w:hAnsi="仿宋_GB2312" w:cs="仿宋_GB2312" w:eastAsia="仿宋_GB2312"/>
              </w:rPr>
              <w:t>项目负责人、技术负责人、质检负责人、售后负责人、其他技术人员，以上人员： 1、具有测绘类高级职称的每提供一个得2.5分，最高5分； 2、具有测绘类中级职称(或注册会计师)的每提供一个得2分，最高4分； 3、具有测绘类初级职称的每提供一个得1.5分，最高3分； 4、具有测绘成果保密(或涉密)培训证书的加1分，最高3分。 注：（1）须提供有效证书、身份证复印件。 （2）以上人员不得兼任，不重复任职，评审过程中供应商的响应情况若出现重复任职的情形，按照得分就高原则计一次得分。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拟派项目组人员一览表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供应商提供自2022年1月1日以来类似业绩，每提供一个得5分。最高得10分。（提供合同复印件并加盖供应商公章）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满足磋商文件要求的最低响应报价为评标基准价，供应商的价格得分统一按照下列公式计算：磋商报价得分=(评标基准价/响应报价)×10(得分计算结果保留小数点后两位，小数点第三位四舍五入)；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详见附件：拟派项目组人员一览表</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