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版本号：ZCBN-勉县-2025-00014820250717001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勉县不动产登记大厅互联网+建设项目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ZCBN-勉县-2025-000148</w:t>
      </w:r>
      <w:r>
        <w:br/>
      </w:r>
      <w:r>
        <w:br/>
      </w:r>
      <w:r>
        <w:br/>
      </w:r>
    </w:p>
    <w:p>
      <w:pPr>
        <w:pStyle w:val="null3"/>
        <w:jc w:val="center"/>
        <w:outlineLvl w:val="2"/>
      </w:pPr>
      <w:r>
        <w:rPr>
          <w:rFonts w:ascii="仿宋_GB2312" w:hAnsi="仿宋_GB2312" w:cs="仿宋_GB2312" w:eastAsia="仿宋_GB2312"/>
          <w:sz w:val="28"/>
          <w:b/>
        </w:rPr>
        <w:t>勉县不动产登记交易服务中心</w:t>
      </w:r>
    </w:p>
    <w:p>
      <w:pPr>
        <w:pStyle w:val="null3"/>
        <w:jc w:val="center"/>
        <w:outlineLvl w:val="2"/>
      </w:pPr>
      <w:r>
        <w:rPr>
          <w:rFonts w:ascii="仿宋_GB2312" w:hAnsi="仿宋_GB2312" w:cs="仿宋_GB2312" w:eastAsia="仿宋_GB2312"/>
          <w:sz w:val="28"/>
          <w:b/>
        </w:rPr>
        <w:t>陕西新言项目管理有限公司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陕西新言项目管理有限公司</w:t>
      </w:r>
      <w:r>
        <w:rPr>
          <w:rFonts w:ascii="仿宋_GB2312" w:hAnsi="仿宋_GB2312" w:cs="仿宋_GB2312" w:eastAsia="仿宋_GB2312"/>
        </w:rPr>
        <w:t>（以下简称“代理机构”）受</w:t>
      </w:r>
      <w:r>
        <w:rPr>
          <w:rFonts w:ascii="仿宋_GB2312" w:hAnsi="仿宋_GB2312" w:cs="仿宋_GB2312" w:eastAsia="仿宋_GB2312"/>
        </w:rPr>
        <w:t>勉县不动产登记交易服务中心</w:t>
      </w:r>
      <w:r>
        <w:rPr>
          <w:rFonts w:ascii="仿宋_GB2312" w:hAnsi="仿宋_GB2312" w:cs="仿宋_GB2312" w:eastAsia="仿宋_GB2312"/>
        </w:rPr>
        <w:t>委托，拟对</w:t>
      </w:r>
      <w:r>
        <w:rPr>
          <w:rFonts w:ascii="仿宋_GB2312" w:hAnsi="仿宋_GB2312" w:cs="仿宋_GB2312" w:eastAsia="仿宋_GB2312"/>
        </w:rPr>
        <w:t>勉县不动产登记大厅互联网+建设项目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ZCBN-勉县-2025-000148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勉县不动产登记大厅互联网+建设项目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对勉县不动产登记大厅进行互联网+建设，建设需落实微信小程序、跨省通办、“税费一次性收缴、后台自动清分”等相关互联网+项目。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采购包1（互联网+建设）：属于专门面向中小企业采购。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1、提供合格有效的法人或者其他组织的营业执照等证明文件，自然人的身份证明：提供合格有效的法人或者其他组织的营业执照等证明文件，自然人的身份证明。</w:t>
      </w:r>
    </w:p>
    <w:p>
      <w:pPr>
        <w:pStyle w:val="null3"/>
      </w:pPr>
      <w:r>
        <w:rPr>
          <w:rFonts w:ascii="仿宋_GB2312" w:hAnsi="仿宋_GB2312" w:cs="仿宋_GB2312" w:eastAsia="仿宋_GB2312"/>
        </w:rPr>
        <w:t>2、法定代表人直接参加磋商的，须出具法人身份证；法定代表人授权代表参加磋商的，须出具法定代表人授权书及授权代表身份证：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勉县不动产登记交易服务中心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勉定军大道政务服务中心二楼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15877303311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汉中市汉台区莲湖路银河鱼庄隔壁南井巷东塔社区隔壁院内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开户名称：陕西新言项目管理有限公司汉中分公司</w:t>
            </w:r>
          </w:p>
          <w:p>
            <w:pPr>
              <w:pStyle w:val="null3"/>
            </w:pPr>
            <w:r>
              <w:rPr>
                <w:rFonts w:ascii="仿宋_GB2312" w:hAnsi="仿宋_GB2312" w:cs="仿宋_GB2312" w:eastAsia="仿宋_GB2312"/>
              </w:rPr>
              <w:t>开户银行：中国工商银行股份有限公司汉中北团结街支行</w:t>
            </w:r>
          </w:p>
          <w:p>
            <w:pPr>
              <w:pStyle w:val="null3"/>
            </w:pPr>
            <w:r>
              <w:rPr>
                <w:rFonts w:ascii="仿宋_GB2312" w:hAnsi="仿宋_GB2312" w:cs="仿宋_GB2312" w:eastAsia="仿宋_GB2312"/>
              </w:rPr>
              <w:t>银行账号：2606050309200290868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勉县不动产登记交易服务中心</w:t>
      </w:r>
      <w:r>
        <w:rPr>
          <w:rFonts w:ascii="仿宋_GB2312" w:hAnsi="仿宋_GB2312" w:cs="仿宋_GB2312" w:eastAsia="仿宋_GB2312"/>
        </w:rPr>
        <w:t>和</w:t>
      </w:r>
      <w:r>
        <w:rPr>
          <w:rFonts w:ascii="仿宋_GB2312" w:hAnsi="仿宋_GB2312" w:cs="仿宋_GB2312" w:eastAsia="仿宋_GB2312"/>
        </w:rPr>
        <w:t>陕西新言项目管理有限公司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勉县不动产登记交易服务中心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勉县不动产登记交易服务中心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达到行业标准要求及项目要求，满足相关法律法规要求。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地址：汉中市汉台区莲湖路银河鱼庄隔壁南井巷东塔社区隔壁院内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对勉县不动产登记大厅进行互联网+建设，建设需落实微信小程序、跨省通办、“税费一次性收缴、后台自动清分”等相关互联网+项目。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不动产登记大厅互联网+建设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标的名称：不动产登记大厅互联网+建设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税费收缴、自动清分对接（</w:t>
            </w:r>
            <w:r>
              <w:rPr>
                <w:rFonts w:ascii="仿宋_GB2312" w:hAnsi="仿宋_GB2312" w:cs="仿宋_GB2312" w:eastAsia="仿宋_GB2312"/>
                <w:sz w:val="19"/>
                <w:color w:val="000000"/>
              </w:rPr>
              <w:t>1</w:t>
            </w:r>
            <w:r>
              <w:rPr>
                <w:rFonts w:ascii="仿宋_GB2312" w:hAnsi="仿宋_GB2312" w:cs="仿宋_GB2312" w:eastAsia="仿宋_GB2312"/>
                <w:sz w:val="19"/>
                <w:color w:val="000000"/>
              </w:rPr>
              <w:t>项）：</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）申请人在不动产登记大厅办事窗口进行转移登记业务申请，不动产登记机构完成业</w:t>
            </w:r>
            <w:r>
              <w:rPr>
                <w:rFonts w:ascii="仿宋_GB2312" w:hAnsi="仿宋_GB2312" w:cs="仿宋_GB2312" w:eastAsia="仿宋_GB2312"/>
                <w:sz w:val="19"/>
                <w:color w:val="000000"/>
              </w:rPr>
              <w:t>务受理，通过不动产登记税、费统缴平台将交易信息推送至税务部门；</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）税务部门完成核税，并由申请人通过窗口完成税费申报，申报后生成税费缴纳订单</w:t>
            </w:r>
            <w:r>
              <w:rPr>
                <w:rFonts w:ascii="仿宋_GB2312" w:hAnsi="仿宋_GB2312" w:cs="仿宋_GB2312" w:eastAsia="仿宋_GB2312"/>
                <w:sz w:val="19"/>
                <w:color w:val="000000"/>
              </w:rPr>
              <w:t>要素并推送至不动产登记税、费统缴平台；</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）不动产登记税、费统缴平台收到税费订单要素后，向财政部门推送登记费缴纳信息</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）财政部门完成登记费支付订单生成，并将缴费要素推送至不动产登记税、费统缴平</w:t>
            </w:r>
            <w:r>
              <w:rPr>
                <w:rFonts w:ascii="仿宋_GB2312" w:hAnsi="仿宋_GB2312" w:cs="仿宋_GB2312" w:eastAsia="仿宋_GB2312"/>
                <w:sz w:val="19"/>
                <w:color w:val="000000"/>
              </w:rPr>
              <w:t>台；</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）不动产登记税、费统缴平台汇总税务与财政的订单信息，统一向金融机构支付平台</w:t>
            </w:r>
            <w:r>
              <w:rPr>
                <w:rFonts w:ascii="仿宋_GB2312" w:hAnsi="仿宋_GB2312" w:cs="仿宋_GB2312" w:eastAsia="仿宋_GB2312"/>
                <w:sz w:val="19"/>
                <w:color w:val="000000"/>
              </w:rPr>
              <w:t>发送订单支付请求；</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）金融机构支付平台收到请求后，根据订单要素分别向税务与财政进行订单确认，获</w:t>
            </w:r>
            <w:r>
              <w:rPr>
                <w:rFonts w:ascii="仿宋_GB2312" w:hAnsi="仿宋_GB2312" w:cs="仿宋_GB2312" w:eastAsia="仿宋_GB2312"/>
                <w:sz w:val="19"/>
                <w:color w:val="000000"/>
              </w:rPr>
              <w:t>取各部门缴费金额，形成统一支付链接并推送至不动产登记税、费统缴平台；</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7</w:t>
            </w:r>
            <w:r>
              <w:rPr>
                <w:rFonts w:ascii="仿宋_GB2312" w:hAnsi="仿宋_GB2312" w:cs="仿宋_GB2312" w:eastAsia="仿宋_GB2312"/>
                <w:sz w:val="19"/>
                <w:color w:val="000000"/>
              </w:rPr>
              <w:t>）申请人通过在窗口用支付</w:t>
            </w:r>
            <w:r>
              <w:rPr>
                <w:rFonts w:ascii="仿宋_GB2312" w:hAnsi="仿宋_GB2312" w:cs="仿宋_GB2312" w:eastAsia="仿宋_GB2312"/>
                <w:sz w:val="19"/>
                <w:color w:val="000000"/>
              </w:rPr>
              <w:t>APP</w:t>
            </w:r>
            <w:r>
              <w:rPr>
                <w:rFonts w:ascii="仿宋_GB2312" w:hAnsi="仿宋_GB2312" w:cs="仿宋_GB2312" w:eastAsia="仿宋_GB2312"/>
                <w:sz w:val="19"/>
                <w:color w:val="000000"/>
              </w:rPr>
              <w:t>扫码完成税费与登记费的一次性缴纳；</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）金融机构收到统一支付资金后，按照各部门不同支付金额，根据税务和财政清分要</w:t>
            </w:r>
            <w:r>
              <w:rPr>
                <w:rFonts w:ascii="仿宋_GB2312" w:hAnsi="仿宋_GB2312" w:cs="仿宋_GB2312" w:eastAsia="仿宋_GB2312"/>
                <w:sz w:val="19"/>
                <w:color w:val="000000"/>
              </w:rPr>
              <w:t>求，将资金划转至财政指定银行代理账户，缴入国库；</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9</w:t>
            </w:r>
            <w:r>
              <w:rPr>
                <w:rFonts w:ascii="仿宋_GB2312" w:hAnsi="仿宋_GB2312" w:cs="仿宋_GB2312" w:eastAsia="仿宋_GB2312"/>
                <w:sz w:val="19"/>
                <w:color w:val="000000"/>
              </w:rPr>
              <w:t>）税务与财政确认费用缴纳情况后，开具相应缴纳凭证并推送至不动产登记税、费统</w:t>
            </w:r>
            <w:r>
              <w:rPr>
                <w:rFonts w:ascii="仿宋_GB2312" w:hAnsi="仿宋_GB2312" w:cs="仿宋_GB2312" w:eastAsia="仿宋_GB2312"/>
                <w:sz w:val="19"/>
                <w:color w:val="000000"/>
              </w:rPr>
              <w:t>缴平台及汉中市不动产登记平台；</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）不动产根据审核结果依法进行登簿、发证，申请人可在汉中互联网</w:t>
            </w:r>
            <w:r>
              <w:rPr>
                <w:rFonts w:ascii="仿宋_GB2312" w:hAnsi="仿宋_GB2312" w:cs="仿宋_GB2312" w:eastAsia="仿宋_GB2312"/>
                <w:sz w:val="19"/>
                <w:color w:val="000000"/>
              </w:rPr>
              <w:t>+</w:t>
            </w:r>
            <w:r>
              <w:rPr>
                <w:rFonts w:ascii="仿宋_GB2312" w:hAnsi="仿宋_GB2312" w:cs="仿宋_GB2312" w:eastAsia="仿宋_GB2312"/>
                <w:sz w:val="19"/>
                <w:color w:val="000000"/>
              </w:rPr>
              <w:t>相关平台查</w:t>
            </w:r>
            <w:r>
              <w:rPr>
                <w:rFonts w:ascii="仿宋_GB2312" w:hAnsi="仿宋_GB2312" w:cs="仿宋_GB2312" w:eastAsia="仿宋_GB2312"/>
                <w:sz w:val="19"/>
                <w:color w:val="000000"/>
              </w:rPr>
              <w:t>询下载电子证照。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9"/>
                <w:color w:val="000000"/>
              </w:rPr>
              <w:t>微信平台建设（</w:t>
            </w:r>
            <w:r>
              <w:rPr>
                <w:rFonts w:ascii="仿宋_GB2312" w:hAnsi="仿宋_GB2312" w:cs="仿宋_GB2312" w:eastAsia="仿宋_GB2312"/>
                <w:sz w:val="19"/>
                <w:color w:val="000000"/>
              </w:rPr>
              <w:t>1</w:t>
            </w:r>
            <w:r>
              <w:rPr>
                <w:rFonts w:ascii="仿宋_GB2312" w:hAnsi="仿宋_GB2312" w:cs="仿宋_GB2312" w:eastAsia="仿宋_GB2312"/>
                <w:sz w:val="19"/>
                <w:color w:val="000000"/>
              </w:rPr>
              <w:t>项）：</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）微信小程序系统：首页、注册登录、业务在线预约、不动产查询、证照领用、证</w:t>
            </w:r>
            <w:r>
              <w:rPr>
                <w:rFonts w:ascii="仿宋_GB2312" w:hAnsi="仿宋_GB2312" w:cs="仿宋_GB2312" w:eastAsia="仿宋_GB2312"/>
                <w:sz w:val="19"/>
                <w:color w:val="000000"/>
              </w:rPr>
              <w:t>照核验、进度查询、信息公开（相关介绍、办事指南、政策法规、公告公示、服务网点</w:t>
            </w:r>
            <w:r>
              <w:rPr>
                <w:rFonts w:ascii="仿宋_GB2312" w:hAnsi="仿宋_GB2312" w:cs="仿宋_GB2312" w:eastAsia="仿宋_GB2312"/>
                <w:sz w:val="19"/>
                <w:color w:val="000000"/>
              </w:rPr>
              <w:t>）、在线申请、我的、便民服务（意见反馈、电表过户申请（预留）、流量大厅、常见</w:t>
            </w:r>
            <w:r>
              <w:rPr>
                <w:rFonts w:ascii="仿宋_GB2312" w:hAnsi="仿宋_GB2312" w:cs="仿宋_GB2312" w:eastAsia="仿宋_GB2312"/>
                <w:sz w:val="19"/>
                <w:color w:val="000000"/>
              </w:rPr>
              <w:t>问题、联系我们）。</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）后台管理系统：后台登录、系统首页、组织机构用户注册审核、小程序用户管理</w:t>
            </w:r>
            <w:r>
              <w:rPr>
                <w:rFonts w:ascii="仿宋_GB2312" w:hAnsi="仿宋_GB2312" w:cs="仿宋_GB2312" w:eastAsia="仿宋_GB2312"/>
                <w:sz w:val="19"/>
                <w:color w:val="000000"/>
              </w:rPr>
              <w:t>（组织机构、个人）、文章管理、操作员管理、角色管理、系统日志、接口日志、运营</w:t>
            </w:r>
            <w:r>
              <w:rPr>
                <w:rFonts w:ascii="仿宋_GB2312" w:hAnsi="仿宋_GB2312" w:cs="仿宋_GB2312" w:eastAsia="仿宋_GB2312"/>
                <w:sz w:val="19"/>
                <w:color w:val="000000"/>
              </w:rPr>
              <w:t>报表。</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）相关配置：内含</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年服务器使用、</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6M</w:t>
            </w:r>
            <w:r>
              <w:rPr>
                <w:rFonts w:ascii="仿宋_GB2312" w:hAnsi="仿宋_GB2312" w:cs="仿宋_GB2312" w:eastAsia="仿宋_GB2312"/>
                <w:sz w:val="19"/>
                <w:color w:val="000000"/>
              </w:rPr>
              <w:t>标准型</w:t>
            </w:r>
            <w:r>
              <w:rPr>
                <w:rFonts w:ascii="仿宋_GB2312" w:hAnsi="仿宋_GB2312" w:cs="仿宋_GB2312" w:eastAsia="仿宋_GB2312"/>
                <w:sz w:val="19"/>
                <w:color w:val="000000"/>
              </w:rPr>
              <w:t>Sa3</w:t>
            </w:r>
            <w:r>
              <w:rPr>
                <w:rFonts w:ascii="仿宋_GB2312" w:hAnsi="仿宋_GB2312" w:cs="仿宋_GB2312" w:eastAsia="仿宋_GB2312"/>
                <w:sz w:val="19"/>
                <w:color w:val="000000"/>
              </w:rPr>
              <w:t>带宽服务、</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r>
              <w:rPr>
                <w:rFonts w:ascii="仿宋_GB2312" w:hAnsi="仿宋_GB2312" w:cs="仿宋_GB2312" w:eastAsia="仿宋_GB2312"/>
                <w:sz w:val="19"/>
                <w:color w:val="000000"/>
              </w:rPr>
              <w:t>40000</w:t>
            </w:r>
            <w:r>
              <w:rPr>
                <w:rFonts w:ascii="仿宋_GB2312" w:hAnsi="仿宋_GB2312" w:cs="仿宋_GB2312" w:eastAsia="仿宋_GB2312"/>
                <w:sz w:val="19"/>
                <w:color w:val="000000"/>
              </w:rPr>
              <w:t>条）</w:t>
            </w:r>
            <w:r>
              <w:rPr>
                <w:rFonts w:ascii="仿宋_GB2312" w:hAnsi="仿宋_GB2312" w:cs="仿宋_GB2312" w:eastAsia="仿宋_GB2312"/>
                <w:sz w:val="19"/>
                <w:color w:val="000000"/>
              </w:rPr>
              <w:t>腾讯云短信包、</w:t>
            </w:r>
            <w:r>
              <w:rPr>
                <w:rFonts w:ascii="仿宋_GB2312" w:hAnsi="仿宋_GB2312" w:cs="仿宋_GB2312" w:eastAsia="仿宋_GB2312"/>
                <w:sz w:val="19"/>
                <w:color w:val="000000"/>
              </w:rPr>
              <w:t>2</w:t>
            </w:r>
            <w:r>
              <w:rPr>
                <w:rFonts w:ascii="仿宋_GB2312" w:hAnsi="仿宋_GB2312" w:cs="仿宋_GB2312" w:eastAsia="仿宋_GB2312"/>
                <w:sz w:val="19"/>
                <w:color w:val="000000"/>
              </w:rPr>
              <w:t>年（</w:t>
            </w:r>
            <w:r>
              <w:rPr>
                <w:rFonts w:ascii="仿宋_GB2312" w:hAnsi="仿宋_GB2312" w:cs="仿宋_GB2312" w:eastAsia="仿宋_GB2312"/>
                <w:sz w:val="19"/>
                <w:color w:val="000000"/>
              </w:rPr>
              <w:t>20000</w:t>
            </w:r>
            <w:r>
              <w:rPr>
                <w:rFonts w:ascii="仿宋_GB2312" w:hAnsi="仿宋_GB2312" w:cs="仿宋_GB2312" w:eastAsia="仿宋_GB2312"/>
                <w:sz w:val="19"/>
                <w:color w:val="000000"/>
              </w:rPr>
              <w:t>次）腾讯云人脸核身</w:t>
            </w:r>
            <w:r>
              <w:rPr>
                <w:rFonts w:ascii="仿宋_GB2312" w:hAnsi="仿宋_GB2312" w:cs="仿宋_GB2312" w:eastAsia="仿宋_GB2312"/>
                <w:sz w:val="19"/>
                <w:color w:val="000000"/>
              </w:rPr>
              <w:t>-</w:t>
            </w:r>
            <w:r>
              <w:rPr>
                <w:rFonts w:ascii="仿宋_GB2312" w:hAnsi="仿宋_GB2312" w:cs="仿宋_GB2312" w:eastAsia="仿宋_GB2312"/>
                <w:sz w:val="19"/>
                <w:color w:val="000000"/>
              </w:rPr>
              <w:t>实名信息效验、</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100G</w:t>
            </w:r>
            <w:r>
              <w:rPr>
                <w:rFonts w:ascii="仿宋_GB2312" w:hAnsi="仿宋_GB2312" w:cs="仿宋_GB2312" w:eastAsia="仿宋_GB2312"/>
                <w:sz w:val="19"/>
                <w:color w:val="000000"/>
              </w:rPr>
              <w:t>）腾讯</w:t>
            </w:r>
            <w:r>
              <w:rPr>
                <w:rFonts w:ascii="仿宋_GB2312" w:hAnsi="仿宋_GB2312" w:cs="仿宋_GB2312" w:eastAsia="仿宋_GB2312"/>
                <w:sz w:val="19"/>
                <w:color w:val="000000"/>
              </w:rPr>
              <w:t>云</w:t>
            </w:r>
            <w:r>
              <w:rPr>
                <w:rFonts w:ascii="仿宋_GB2312" w:hAnsi="仿宋_GB2312" w:cs="仿宋_GB2312" w:eastAsia="仿宋_GB2312"/>
                <w:sz w:val="19"/>
                <w:color w:val="000000"/>
              </w:rPr>
              <w:t>cos</w:t>
            </w:r>
            <w:r>
              <w:rPr>
                <w:rFonts w:ascii="仿宋_GB2312" w:hAnsi="仿宋_GB2312" w:cs="仿宋_GB2312" w:eastAsia="仿宋_GB2312"/>
                <w:sz w:val="19"/>
                <w:color w:val="000000"/>
              </w:rPr>
              <w:t>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9"/>
                <w:color w:val="000000"/>
              </w:rPr>
              <w:t>跨省通办平台对接（</w:t>
            </w:r>
            <w:r>
              <w:rPr>
                <w:rFonts w:ascii="仿宋_GB2312" w:hAnsi="仿宋_GB2312" w:cs="仿宋_GB2312" w:eastAsia="仿宋_GB2312"/>
                <w:sz w:val="19"/>
                <w:color w:val="000000"/>
              </w:rPr>
              <w:t>1</w:t>
            </w:r>
            <w:r>
              <w:rPr>
                <w:rFonts w:ascii="仿宋_GB2312" w:hAnsi="仿宋_GB2312" w:cs="仿宋_GB2312" w:eastAsia="仿宋_GB2312"/>
                <w:sz w:val="19"/>
                <w:color w:val="000000"/>
              </w:rPr>
              <w:t>项）：</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）不动产权证书</w:t>
            </w:r>
            <w:r>
              <w:rPr>
                <w:rFonts w:ascii="仿宋_GB2312" w:hAnsi="仿宋_GB2312" w:cs="仿宋_GB2312" w:eastAsia="仿宋_GB2312"/>
                <w:sz w:val="19"/>
                <w:color w:val="000000"/>
              </w:rPr>
              <w:t>/</w:t>
            </w:r>
            <w:r>
              <w:rPr>
                <w:rFonts w:ascii="仿宋_GB2312" w:hAnsi="仿宋_GB2312" w:cs="仿宋_GB2312" w:eastAsia="仿宋_GB2312"/>
                <w:sz w:val="19"/>
                <w:color w:val="000000"/>
              </w:rPr>
              <w:t>证明验证功能接口对接；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）根据房屋不动产权证号提取不动产信息接口对接；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）根据房屋抵押证明号获取不动产信息接口对接；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）根据房屋预告证明号获取不动产信息接口对接；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）根据房屋不动产单元号提取不动产单元信息接口对接；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）根据士地不动产权证号提取不动产单元信息接口对接；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7</w:t>
            </w:r>
            <w:r>
              <w:rPr>
                <w:rFonts w:ascii="仿宋_GB2312" w:hAnsi="仿宋_GB2312" w:cs="仿宋_GB2312" w:eastAsia="仿宋_GB2312"/>
                <w:sz w:val="19"/>
                <w:color w:val="000000"/>
              </w:rPr>
              <w:t>）根据宗地代码提取不动产单元信息接口对接；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）根据坐落提取不动产单元信息接口对接；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9</w:t>
            </w:r>
            <w:r>
              <w:rPr>
                <w:rFonts w:ascii="仿宋_GB2312" w:hAnsi="仿宋_GB2312" w:cs="仿宋_GB2312" w:eastAsia="仿宋_GB2312"/>
                <w:sz w:val="19"/>
                <w:color w:val="000000"/>
              </w:rPr>
              <w:t>）申请系统分发申请数据至登记系统接口对接；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）申请系统分发申请数据至登记系统接口对接；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11</w:t>
            </w:r>
            <w:r>
              <w:rPr>
                <w:rFonts w:ascii="仿宋_GB2312" w:hAnsi="仿宋_GB2312" w:cs="仿宋_GB2312" w:eastAsia="仿宋_GB2312"/>
                <w:sz w:val="19"/>
                <w:color w:val="000000"/>
              </w:rPr>
              <w:t>）不动产接口通讯状态查询接口对接；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）业务驳回接口接口对接；</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13</w:t>
            </w:r>
            <w:r>
              <w:rPr>
                <w:rFonts w:ascii="仿宋_GB2312" w:hAnsi="仿宋_GB2312" w:cs="仿宋_GB2312" w:eastAsia="仿宋_GB2312"/>
                <w:sz w:val="19"/>
                <w:color w:val="000000"/>
              </w:rPr>
              <w:t>）更新业务状态接口对接；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color w:val="000000"/>
              </w:rPr>
              <w:t>双预告合并业务开发（</w:t>
            </w:r>
            <w:r>
              <w:rPr>
                <w:rFonts w:ascii="仿宋_GB2312" w:hAnsi="仿宋_GB2312" w:cs="仿宋_GB2312" w:eastAsia="仿宋_GB2312"/>
                <w:sz w:val="19"/>
                <w:color w:val="000000"/>
              </w:rPr>
              <w:t>1</w:t>
            </w:r>
            <w:r>
              <w:rPr>
                <w:rFonts w:ascii="仿宋_GB2312" w:hAnsi="仿宋_GB2312" w:cs="仿宋_GB2312" w:eastAsia="仿宋_GB2312"/>
                <w:sz w:val="19"/>
                <w:color w:val="000000"/>
              </w:rPr>
              <w:t>项）：</w:t>
            </w:r>
          </w:p>
          <w:p>
            <w:pPr>
              <w:pStyle w:val="null3"/>
            </w:pPr>
            <w:r>
              <w:rPr>
                <w:rFonts w:ascii="仿宋_GB2312" w:hAnsi="仿宋_GB2312" w:cs="仿宋_GB2312" w:eastAsia="仿宋_GB2312"/>
                <w:sz w:val="19"/>
                <w:color w:val="000000"/>
              </w:rPr>
              <w:t>按照《不动产登记规程》预购商品房预告登记与预购商品房抵押预告登记一并申请的要</w:t>
            </w:r>
            <w:r>
              <w:rPr>
                <w:rFonts w:ascii="仿宋_GB2312" w:hAnsi="仿宋_GB2312" w:cs="仿宋_GB2312" w:eastAsia="仿宋_GB2312"/>
                <w:sz w:val="19"/>
                <w:color w:val="000000"/>
              </w:rPr>
              <w:t>求，在登记平台新增预告登记和预抵押登记合并办理模块，通过一次信息录入，后台依</w:t>
            </w:r>
            <w:r>
              <w:rPr>
                <w:rFonts w:ascii="仿宋_GB2312" w:hAnsi="仿宋_GB2312" w:cs="仿宋_GB2312" w:eastAsia="仿宋_GB2312"/>
                <w:sz w:val="19"/>
                <w:color w:val="000000"/>
              </w:rPr>
              <w:t>次分别登簿，实现预告登记和与预抵押登记合并办理。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为保证本项目的顺利实施，响应供应商应满足国家相关法律法规的要求，需保证所涉及本项目设备设施来源渠道合法，配置参数达到响应的标准要求。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勉县不动产登记大厅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w:t>
            </w:r>
          </w:p>
        </w:tc>
        <w:tc>
          <w:tcPr>
            <w:tcW w:type="dxa" w:w="3322"/>
          </w:tcPr>
          <w:p>
            <w:pPr>
              <w:pStyle w:val="null3"/>
            </w:pPr>
            <w:r>
              <w:rPr>
                <w:rFonts w:ascii="仿宋_GB2312" w:hAnsi="仿宋_GB2312" w:cs="仿宋_GB2312" w:eastAsia="仿宋_GB2312"/>
              </w:rPr>
              <w:t>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磋商响应文件签署及盖章</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服务内容及服务邀请应答表 保证金汇款声明函 中小企业声明函 商务应答表 供应商应提交的相关资格证明材料 报价表 响应文件封面 残疾人福利性单位声明函 服务方案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响应文件是否符合法律、法规和磋商文件中规 定的其他实质性要求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保证金汇款声明函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能对本项目背景、建设需求进行深入分析，分析出目前面临的不足以及项目存在的重难点问题和关键问题，能提出切实可行的解决方案，内容明确清晰、可行性强得【8-10】分，一般【4-8）分，差得（0-4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投标人提供方案的整体要求、技术路线、开发技术及设计架构的合理性、采用的技术先进性、设计的完整性以及系统的扩展性、实用性、规范性、易用性、可行性、可靠性等方面，优秀得【11-15】分，一般得【6-11）分，较差得（0-6）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①有完整的实施方案，包括：进度控制、质量保证、风险控制 等管理，验收方案、培训方案的科学合理进行评分。 思路清晰合理，方案分析度强、方案具有一定的前瞻性、内容完善且对工作目标的理解准确深刻、完全符合采购需求的得【11-15】分；思路较为清晰合理，方案分析度较强、方案基本可行、内容完善的得 【6-11） 分；有具体思路、方案有所欠缺、内容简单且系统性全面性较差的得（0-6）分； 不提供不得分。 ②对项目成果保密制度的情况进行综合评判，根据保密制度到位情况酌情得（0-5】分，不提供不得分。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对售后服务内容是否详细，售后服务人员配备是否合理，响应方式是否可行等进行评分： 售后服务方案详细、规范、合理、全面、响应时间快，得【10-15】分；售后服务方案详细程度一般、一般规范、一般合理、不是很全面、响应时间一般，得【5-10）分；差得（0-5）分；不提供不得分。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具有2022年1月1日以来不动产登记软件建设类相关项目业绩的每提供一个得6分，最高得30分（以合同签订时间为准，提供合同复印件加盖公章）。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满足磋商文件要求的最低响应报价为评标基准价，供应商的价格得分统一按照下列公式计算：磋商报价 得分=(评标基准价/响应报价)×10(得分计算结果保留小数点后两位，小数点第三位四舍五入)；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