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版本号：ZJXHZ-ZBDL-2025-03220250730001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勉县2024年度“三化一片林”森林乡村建设项目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ZJXHZ-ZBDL-2025-032</w:t>
      </w:r>
      <w:r>
        <w:br/>
      </w:r>
      <w:r>
        <w:br/>
      </w:r>
      <w:r>
        <w:br/>
      </w:r>
    </w:p>
    <w:p>
      <w:pPr>
        <w:pStyle w:val="null3"/>
        <w:jc w:val="center"/>
        <w:outlineLvl w:val="2"/>
      </w:pPr>
      <w:r>
        <w:rPr>
          <w:rFonts w:ascii="仿宋_GB2312" w:hAnsi="仿宋_GB2312" w:cs="仿宋_GB2312" w:eastAsia="仿宋_GB2312"/>
          <w:sz w:val="28"/>
          <w:b/>
        </w:rPr>
        <w:t>勉县林业局</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勉县林业局</w:t>
      </w:r>
      <w:r>
        <w:rPr>
          <w:rFonts w:ascii="仿宋_GB2312" w:hAnsi="仿宋_GB2312" w:cs="仿宋_GB2312" w:eastAsia="仿宋_GB2312"/>
        </w:rPr>
        <w:t>委托，拟对</w:t>
      </w:r>
      <w:r>
        <w:rPr>
          <w:rFonts w:ascii="仿宋_GB2312" w:hAnsi="仿宋_GB2312" w:cs="仿宋_GB2312" w:eastAsia="仿宋_GB2312"/>
        </w:rPr>
        <w:t>勉县2024年度“三化一片林”森林乡村建设项目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ZJXHZ-ZBDL-2025-032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勉县2024年度“三化一片林”森林乡村建设项目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勉县2024年度“三化一片林”森林乡村建设项目，已由汉中市林业局以汉林函【2025】59号文件批准实施，资金来源为省级三化一片林专项补助。采购人为勉县林业局。本项目已具备采购条件，现对该项目进行竞争性磋商采购，欢迎符合条件的供应商前来参与响应。</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采购包1（勉县2024年度“三化一片林”森林乡村建设项目）：属于专门面向中小企业采购。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须具有独立承担民事责任能力的法人、其他组织或自然人，并出具合法有效的营业执照等国家规定的相关证明，自然人参与的提供其身份证明；：须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复印件（法定代表人直接参加投标只须提供法定代表人身份证明原件）；：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本次采购不接受联合体投标.单位负责人为同一人或者存在控股、管理关系的不同单位，不得参加同一项目的投标。：本次采购不接受联合体投标.单位负责人为同一人或者存在控股、管理关系的不同单位，不得参加同一项目的投标。</w:t>
      </w:r>
    </w:p>
    <w:p>
      <w:pPr>
        <w:pStyle w:val="null3"/>
      </w:pPr>
      <w:r>
        <w:rPr>
          <w:rFonts w:ascii="仿宋_GB2312" w:hAnsi="仿宋_GB2312" w:cs="仿宋_GB2312" w:eastAsia="仿宋_GB2312"/>
        </w:rPr>
        <w:t>5、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pPr>
      <w:r>
        <w:rPr>
          <w:rFonts w:ascii="仿宋_GB2312" w:hAnsi="仿宋_GB2312" w:cs="仿宋_GB2312" w:eastAsia="仿宋_GB2312"/>
        </w:rPr>
        <w:t>6、具有有效期内的林木种子生产经营许可证或林草种子生产经营许可证；：具有有效期内的林木种子生产经营许可证或林草种子生产经营许可证；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13909163839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参照国家计委2002年颁发的《招标代理服务收费管理暂行办法》(计价格〔2002〕1980号)及国家发改委2011年颁布的《国家发展改革委关于降低部分建设项目收费标准规范收费行为等有关问题的通知 》（发改价格〔2011〕534号）计取。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勉县林业局</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按照设计方案，完成“三化一片林”森林乡村建设项目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地址：汉中市汉台区西环路北段天汉龙城写字楼5楼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认真贯彻落实《陕西省林业厅关于实施“三化一片林”绿色家园建设工程意见》的通知（陕政办发〔2007〕64号）精神，结合我县发展乡村生态旅游的目标，打造村庄建设“小而精、小而美”的发展思路，通过“三化一片林”森林乡村建设项目建设，形成“村外不见房，进村闻花香，出门绿成荫，路渠绿成行”的生态新型农村建设目标。 （1）周家山镇周家山村 新建路渠绿化2处，共255.8m，绿化面积747㎡；新建公共绿地绿化1处，绿化花池8个，面积65㎡；片林建设新造乔木林16.7亩。 （2）老道寺镇孟家山村 新建路渠绿化及补植提升4处共计1640m；补植提升村级广场1处，换植乔木10株。该村属平川无林地村，由于土地管理政策限制，该村片林建设地块无法落实。 （3）温泉镇温泉社区 提升改造公共绿地1处，面积176㎡；新建公共绿地1处，面积375㎡；提升改造道路绿化3处，长度273.2m；片林建设新造乔木林10.1亩。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按照设计要求，通过实施勉县</w:t>
            </w:r>
            <w:r>
              <w:rPr>
                <w:rFonts w:ascii="仿宋_GB2312" w:hAnsi="仿宋_GB2312" w:cs="仿宋_GB2312" w:eastAsia="仿宋_GB2312"/>
                <w:sz w:val="21"/>
              </w:rPr>
              <w:t xml:space="preserve"> 2024 年“三化一片林”森林乡村建设项目改善和提升周家山镇周家山村、老道寺镇孟家山村、温泉镇温泉社区3 个村（社区）的农村人居环境和生态环境，营造生态宜居的美好家园，并顺利通过省市验收。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为保证项目的顺利实施，响应供应商应满足国家相关法律法规要求，须保证所涉及本项目设备设施来源渠道合法，配置参数达到响应的标准要求的设备。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项目经由省、市级林业部门验收通过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合同签订后，甲方进入施工现场开工后拨付合同价款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全部苗木栽植完成后，乙方全面自查完成后，报请甲方检查验收合格后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甲方委托审计单位进行审计，养护期满一年经过检查验收质量合格的，按照审定价计算拨付剩余款项，工程质量存在问题的，由乙方负责维护补植，不再增加工程款，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3322"/>
          </w:tcPr>
          <w:p>
            <w:pPr>
              <w:pStyle w:val="null3"/>
            </w:pPr>
            <w:r>
              <w:rPr>
                <w:rFonts w:ascii="仿宋_GB2312" w:hAnsi="仿宋_GB2312" w:cs="仿宋_GB2312" w:eastAsia="仿宋_GB2312"/>
              </w:rPr>
              <w:t>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332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3322"/>
          </w:tcPr>
          <w:p>
            <w:pPr>
              <w:pStyle w:val="null3"/>
            </w:pPr>
            <w:r>
              <w:rPr>
                <w:rFonts w:ascii="仿宋_GB2312" w:hAnsi="仿宋_GB2312" w:cs="仿宋_GB2312" w:eastAsia="仿宋_GB2312"/>
              </w:rPr>
              <w:t>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具有有效期内的林木种子生产经营许可证或林草种子生产经营许可证；</w:t>
            </w:r>
          </w:p>
        </w:tc>
        <w:tc>
          <w:tcPr>
            <w:tcW w:type="dxa" w:w="3322"/>
          </w:tcPr>
          <w:p>
            <w:pPr>
              <w:pStyle w:val="null3"/>
            </w:pPr>
            <w:r>
              <w:rPr>
                <w:rFonts w:ascii="仿宋_GB2312" w:hAnsi="仿宋_GB2312" w:cs="仿宋_GB2312" w:eastAsia="仿宋_GB2312"/>
              </w:rPr>
              <w:t>具有有效期内的林木种子生产经营许可证或林草种子生产经营许可证；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结合本项目具体任务要求的理解深度，以及对国家相关领域政策、标准的掌握程度。根据方案的合理性、适宜性、内容完整性以及针对性等情况进行综合评分：①项目实施的依据、执行的标准（规范、规程）适用准确，方案阐述明确具体，切实可行，根据服务方案响应程度：一般：得0-3分；较好：得3.1-7.0分；好：得7.1-11分。 ②施工方案先进，且有明确具体的操作规程、标准及方法； 根据方案响应程度：一般：得0-3分；较好：得3.1-7.0分；好：得7.1-11分。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详细评审</w:t>
            </w:r>
          </w:p>
        </w:tc>
        <w:tc>
          <w:tcPr>
            <w:tcW w:type="dxa" w:w="2492"/>
          </w:tcPr>
          <w:p>
            <w:pPr>
              <w:pStyle w:val="null3"/>
            </w:pPr>
            <w:r>
              <w:rPr>
                <w:rFonts w:ascii="仿宋_GB2312" w:hAnsi="仿宋_GB2312" w:cs="仿宋_GB2312" w:eastAsia="仿宋_GB2312"/>
              </w:rPr>
              <w:t>根据本项目实际特点，合理应用技术标准，项目实施应科学、全面，主要包括针对本项目制定完善的、及切实可行性的技术指标及标准； 一般：得0-3分；较好：得3.1-6.0分；好：得6.1-9分；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供应商对本项目重难点的分析，以及相应的对策和措施.一般：得0-2分；较好：得2.1-5.0分；好：得5.1-7分；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为保证项目质量采取的有效措施，供应商应提供质量检查方案，包括保证项目质量的机构、方法、措施等。 一般：得0-3分；较好：得3.1-6.0分；好：得6.1-8分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进度时间安排满足项目需要，有详细的进度计划表或示意图，应提供项目进度方案，包括保证工期的方法、措施等。 一般：得0-3分；较好：得3.1-6.0分；好：得6.1-8分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具有完善的内部管理制度。一般：得0-2.0分；较好：得2.1-4.0分；好：得4.1-6.0分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供应商提供2022年1月1日至今（以合同或中标通知书时间为准）的同类项目业绩，每提供一个业绩得1分，最多得3分。（提供合同或中标通知书复印件）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备稳定的售后服务机构，针对本项目设立专门的技术服务团队，并提供了人员名单，团队人员专业性强或具备类似项目经验，且配备合理，职责分工明确，专业性强人员素质高，服务优良。一般：得0-2分；较好：得2.1-4.0分；好：得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服务组织实施方案，服务机构健全，提供服务标准公约，配备专职服务人员，项目组人员提供的各项服务承诺情况。一般：得0-3分；较好：得3.1-7.0分；好：得7.1-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根据供应商制定的各类特殊情况下的应急预案及处置措施方案。一般：得0-3分；较好：得3.1-5.0分；好：得5.1-7.0分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