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版本号：YC25307024(ZBA)20250811001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省级垃圾分类试点县垃圾分类收集转运中转站建设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YC25307024(ZBA)</w:t>
      </w:r>
      <w:r>
        <w:br/>
      </w:r>
      <w:r>
        <w:br/>
      </w:r>
      <w:r>
        <w:br/>
      </w:r>
    </w:p>
    <w:p>
      <w:pPr>
        <w:pStyle w:val="null3"/>
        <w:jc w:val="center"/>
        <w:outlineLvl w:val="2"/>
      </w:pPr>
      <w:r>
        <w:rPr>
          <w:rFonts w:ascii="仿宋_GB2312" w:hAnsi="仿宋_GB2312" w:cs="仿宋_GB2312" w:eastAsia="仿宋_GB2312"/>
          <w:sz w:val="28"/>
          <w:b/>
        </w:rPr>
        <w:t>勉县园林环卫服务中心</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勉县园林环卫服务中心</w:t>
      </w:r>
      <w:r>
        <w:rPr>
          <w:rFonts w:ascii="仿宋_GB2312" w:hAnsi="仿宋_GB2312" w:cs="仿宋_GB2312" w:eastAsia="仿宋_GB2312"/>
        </w:rPr>
        <w:t>委托，拟对</w:t>
      </w:r>
      <w:r>
        <w:rPr>
          <w:rFonts w:ascii="仿宋_GB2312" w:hAnsi="仿宋_GB2312" w:cs="仿宋_GB2312" w:eastAsia="仿宋_GB2312"/>
        </w:rPr>
        <w:t>省级垃圾分类试点县垃圾分类收集转运中转站建设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YC25307024(ZBA)</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省级垃圾分类试点县垃圾分类收集转运中转站建设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新建垃圾中转站3座、新建有害垃圾暂存间1座及配套电气、给排水工程。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采购包1（省级垃圾分类试点县垃圾分类收集转运中转站建设的采购项目）：属于专门面向中小企业采购。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须具备建设行政主管部门核发的建筑工程施工总承包三级及以上资质或市政公用工程施工总承包三级及以上资质，并且具有合格有效安全生产许可证，提供未拖欠农民工工资承诺或声明函。</w:t>
      </w:r>
    </w:p>
    <w:p>
      <w:pPr>
        <w:pStyle w:val="null3"/>
      </w:pPr>
      <w:r>
        <w:rPr>
          <w:rFonts w:ascii="仿宋_GB2312" w:hAnsi="仿宋_GB2312" w:cs="仿宋_GB2312" w:eastAsia="仿宋_GB2312"/>
        </w:rPr>
        <w:t>2、拟派项目负责人资质和专业要求：项目负责人须具备建筑工程二级及以上或市政公用工程专业二级及以上注册建造师资格，并具有行业主管部门核发的（B）类安全考核合格证书，且无在建项目；在“陕西省建筑市场监管与诚信信息发布平台”可查询到供应商及其拟派项目经理信息。</w:t>
      </w:r>
    </w:p>
    <w:p>
      <w:pPr>
        <w:pStyle w:val="null3"/>
      </w:pPr>
      <w:r>
        <w:rPr>
          <w:rFonts w:ascii="仿宋_GB2312" w:hAnsi="仿宋_GB2312" w:cs="仿宋_GB2312" w:eastAsia="仿宋_GB2312"/>
        </w:rPr>
        <w:t>3、营业执照：具有独立承担民事责任能力的法人、其他组织或自然人，并出具合法有效的营业执照或事业单位法人证书等国家规定的相关证明，自然人参与的提供其身份证明。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4、法定代表人或委托代理人身份证明：法定代表人参加投标须提供《法定代表人身份证明》及身份证复印件；法定代表人授权他人参加投标，须提供《法定代表人授权委托书》、委托代理人身份证复印件。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5、资格承诺：供应商须提供《汉中市政府采购供应商资格承诺函》，对其财务状况、依法缴纳税收、依法缴纳社会保障金状况、具备履行合同所必需的设备和专业技术能力及参加政府采购活动（以开启时间为准）前3年内，在经营活动中没有重大违法记录等状况做出真实、合法、有效的承诺。供应商未提供资格信用承诺函的，应当按照《中华人民共和国政府采购法》及其实施条例等相关法律法规的规定提供相应的证明材料。</w:t>
      </w:r>
    </w:p>
    <w:p>
      <w:pPr>
        <w:pStyle w:val="null3"/>
      </w:pPr>
      <w:r>
        <w:rPr>
          <w:rFonts w:ascii="仿宋_GB2312" w:hAnsi="仿宋_GB2312" w:cs="仿宋_GB2312" w:eastAsia="仿宋_GB2312"/>
        </w:rPr>
        <w:t>6、联合体响应及分包：本项目不接受联合体响应，不允许分包。供应商应提供《非联合体不分包投标声明》，视为独立投标，不分包。</w:t>
      </w:r>
    </w:p>
    <w:p>
      <w:pPr>
        <w:pStyle w:val="null3"/>
      </w:pPr>
      <w:r>
        <w:rPr>
          <w:rFonts w:ascii="仿宋_GB2312" w:hAnsi="仿宋_GB2312" w:cs="仿宋_GB2312" w:eastAsia="仿宋_GB2312"/>
        </w:rPr>
        <w:t>7、投标保证金：1、以支票、汇票、本票（从企业基本账户转入指定账户）缴纳需提供缴纳凭证及开户银行许可证； 2、以保函等非现金形式提交需提供由基本账户银行或政府采购信用担保机构出具的担保函。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勉县园林环卫服务中心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勉县天荡山路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税利鹤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13572607270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汉中市汉台区西新街仁和春天11号楼2单元23层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折红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0916-8118869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开户名称：亿诚建设项目管理有限公司</w:t>
            </w:r>
          </w:p>
          <w:p>
            <w:pPr>
              <w:pStyle w:val="null3"/>
            </w:pPr>
            <w:r>
              <w:rPr>
                <w:rFonts w:ascii="仿宋_GB2312" w:hAnsi="仿宋_GB2312" w:cs="仿宋_GB2312" w:eastAsia="仿宋_GB2312"/>
              </w:rPr>
              <w:t>开户银行：平安银行西安含光路支行</w:t>
            </w:r>
          </w:p>
          <w:p>
            <w:pPr>
              <w:pStyle w:val="null3"/>
            </w:pPr>
            <w:r>
              <w:rPr>
                <w:rFonts w:ascii="仿宋_GB2312" w:hAnsi="仿宋_GB2312" w:cs="仿宋_GB2312" w:eastAsia="仿宋_GB2312"/>
              </w:rPr>
              <w:t>银行账号：30205199004530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向中标投标人收取代理服务费。中标人在领取中标通知书前，向招标代理机构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勉县园林环卫服务中心</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勉县园林环卫服务中心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勉县园林环卫服务中心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一、验收方式： 1）验收组织方式：自行验收 2）是否邀请本项目的其他供应商：否 3）是否邀请专家：是 4）是否邀请服务对象：否 5）是否邀请第三方检测机构：是 6）履约验收程序：一次性验收 7）履约验收时间： 供应商提出验收申请之日起30日内组织验收 8）验收组织的其他事项：验收应在甲方和乙方双方共同参加下进行。甲方组成验收小组按国家有关规定、规范进行验收，验收时将会邀请相关的专业人员或机构参与验收。 9）技术履约验收内容：工程全部内容。 10）商务履约验收内容：响应文件全部内容。 11）履约验收标准：按照国家相关法律法规及规范标准验收。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联系人：折红</w:t>
      </w:r>
    </w:p>
    <w:p>
      <w:pPr>
        <w:pStyle w:val="null3"/>
      </w:pPr>
      <w:r>
        <w:rPr>
          <w:rFonts w:ascii="仿宋_GB2312" w:hAnsi="仿宋_GB2312" w:cs="仿宋_GB2312" w:eastAsia="仿宋_GB2312"/>
        </w:rPr>
        <w:t>联系电话：0916-8118869</w:t>
      </w:r>
    </w:p>
    <w:p>
      <w:pPr>
        <w:pStyle w:val="null3"/>
      </w:pPr>
      <w:r>
        <w:rPr>
          <w:rFonts w:ascii="仿宋_GB2312" w:hAnsi="仿宋_GB2312" w:cs="仿宋_GB2312" w:eastAsia="仿宋_GB2312"/>
        </w:rPr>
        <w:t>地址：汉中市汉台区西新街仁和春天11号楼二单元23层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690,000.00</w:t>
      </w:r>
    </w:p>
    <w:p>
      <w:pPr>
        <w:pStyle w:val="null3"/>
      </w:pPr>
      <w:r>
        <w:rPr>
          <w:rFonts w:ascii="仿宋_GB2312" w:hAnsi="仿宋_GB2312" w:cs="仿宋_GB2312" w:eastAsia="仿宋_GB2312"/>
        </w:rPr>
        <w:t>采购包最高限价（元）: 689,783.42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新建中转站3座、新建有害垃圾暂存间1座</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690,000.00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标的名称：新建中转站3座、新建有害垃圾暂存间1座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工程概况：</w:t>
            </w:r>
            <w:r>
              <w:rPr>
                <w:rFonts w:ascii="仿宋_GB2312" w:hAnsi="仿宋_GB2312" w:cs="仿宋_GB2312" w:eastAsia="仿宋_GB2312"/>
                <w:sz w:val="21"/>
              </w:rPr>
              <w:t>省级垃圾分类试点县垃圾分类收集转运中转站建设项目，主要建设内容有：新建垃圾处理站及配套电气、给排水工程。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rPr>
              <w:t>编制范围</w:t>
            </w:r>
            <w:r>
              <w:rPr>
                <w:rFonts w:ascii="仿宋_GB2312" w:hAnsi="仿宋_GB2312" w:cs="仿宋_GB2312" w:eastAsia="仿宋_GB2312"/>
                <w:sz w:val="21"/>
              </w:rPr>
              <w:t>：</w:t>
            </w:r>
            <w:r>
              <w:rPr>
                <w:rFonts w:ascii="仿宋_GB2312" w:hAnsi="仿宋_GB2312" w:cs="仿宋_GB2312" w:eastAsia="仿宋_GB2312"/>
                <w:sz w:val="21"/>
              </w:rPr>
              <w:t>《省级垃圾分类试点县垃圾分类收集转运中转站建设项目》设计图纸及计算说明。</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b/>
              </w:rPr>
              <w:t>编制依据：</w:t>
            </w:r>
            <w:r>
              <w:rPr>
                <w:rFonts w:ascii="仿宋_GB2312" w:hAnsi="仿宋_GB2312" w:cs="仿宋_GB2312" w:eastAsia="仿宋_GB2312"/>
                <w:sz w:val="21"/>
              </w:rPr>
              <w:t>1、省级垃圾分类试点县垃圾分类收集转运中转站建设项目设计图纸及计算说明；</w:t>
            </w:r>
            <w:r>
              <w:rPr>
                <w:rFonts w:ascii="仿宋_GB2312" w:hAnsi="仿宋_GB2312" w:cs="仿宋_GB2312" w:eastAsia="仿宋_GB2312"/>
                <w:sz w:val="21"/>
              </w:rPr>
              <w:t>2、与建设项目相关的标准、规范等技术资料；</w:t>
            </w:r>
            <w:r>
              <w:rPr>
                <w:rFonts w:ascii="仿宋_GB2312" w:hAnsi="仿宋_GB2312" w:cs="仿宋_GB2312" w:eastAsia="仿宋_GB2312"/>
                <w:sz w:val="21"/>
              </w:rPr>
              <w:t>3、陕西省建设工程工程量清单计价规则（2009）；</w:t>
            </w:r>
            <w:r>
              <w:rPr>
                <w:rFonts w:ascii="仿宋_GB2312" w:hAnsi="仿宋_GB2312" w:cs="仿宋_GB2312" w:eastAsia="仿宋_GB2312"/>
                <w:sz w:val="21"/>
              </w:rPr>
              <w:t>4、《2009陕西省建设工程工程量清单计价规则》《陕西省建筑装饰、安装、市政、园林绿化工程消耗量定额2004》《陕西省建筑装饰、安装、市政、园林绿化工程价目表2009》及其他相关计价依据和办法；</w:t>
            </w:r>
            <w:r>
              <w:rPr>
                <w:rFonts w:ascii="仿宋_GB2312" w:hAnsi="仿宋_GB2312" w:cs="仿宋_GB2312" w:eastAsia="仿宋_GB2312"/>
                <w:sz w:val="21"/>
              </w:rPr>
              <w:t>5、扬尘治理措施费执行陕建发[2017]270号文件；</w:t>
            </w:r>
            <w:r>
              <w:rPr>
                <w:rFonts w:ascii="仿宋_GB2312" w:hAnsi="仿宋_GB2312" w:cs="仿宋_GB2312" w:eastAsia="仿宋_GB2312"/>
                <w:sz w:val="21"/>
              </w:rPr>
              <w:t>6、税金执行陕建发[2019]45号文件；</w:t>
            </w:r>
            <w:r>
              <w:rPr>
                <w:rFonts w:ascii="仿宋_GB2312" w:hAnsi="仿宋_GB2312" w:cs="仿宋_GB2312" w:eastAsia="仿宋_GB2312"/>
                <w:sz w:val="21"/>
              </w:rPr>
              <w:t>7、建筑工人实名制管理费执行陕建发[2019]1246号文件；</w:t>
            </w:r>
            <w:r>
              <w:rPr>
                <w:rFonts w:ascii="仿宋_GB2312" w:hAnsi="仿宋_GB2312" w:cs="仿宋_GB2312" w:eastAsia="仿宋_GB2312"/>
                <w:sz w:val="21"/>
              </w:rPr>
              <w:t>8、建筑施工安全生产责任保险费执行陕建发[2020]1097号文件；</w:t>
            </w:r>
            <w:r>
              <w:rPr>
                <w:rFonts w:ascii="仿宋_GB2312" w:hAnsi="仿宋_GB2312" w:cs="仿宋_GB2312" w:eastAsia="仿宋_GB2312"/>
                <w:sz w:val="21"/>
              </w:rPr>
              <w:t>9、材料价格执行《2025年6月汉中建设工程造价信息》。</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工程最高限价：</w:t>
            </w:r>
            <w:r>
              <w:rPr>
                <w:rFonts w:ascii="仿宋_GB2312" w:hAnsi="仿宋_GB2312" w:cs="仿宋_GB2312" w:eastAsia="仿宋_GB2312"/>
                <w:sz w:val="21"/>
              </w:rPr>
              <w:t>小写：</w:t>
            </w:r>
            <w:r>
              <w:rPr>
                <w:rFonts w:ascii="仿宋_GB2312" w:hAnsi="仿宋_GB2312" w:cs="仿宋_GB2312" w:eastAsia="仿宋_GB2312"/>
                <w:sz w:val="21"/>
                <w:u w:val="single"/>
              </w:rPr>
              <w:t>689,783.42元 ，</w:t>
            </w:r>
            <w:r>
              <w:rPr>
                <w:rFonts w:ascii="仿宋_GB2312" w:hAnsi="仿宋_GB2312" w:cs="仿宋_GB2312" w:eastAsia="仿宋_GB2312"/>
                <w:sz w:val="21"/>
              </w:rPr>
              <w:t>大写：</w:t>
            </w:r>
            <w:r>
              <w:rPr>
                <w:rFonts w:ascii="仿宋_GB2312" w:hAnsi="仿宋_GB2312" w:cs="仿宋_GB2312" w:eastAsia="仿宋_GB2312"/>
                <w:sz w:val="21"/>
                <w:u w:val="single"/>
              </w:rPr>
              <w:t>陆拾捌万玖仟柒佰捌拾叁元肆角贰分。</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rPr>
              <w:t>工期要求</w:t>
            </w:r>
            <w:r>
              <w:rPr>
                <w:rFonts w:ascii="仿宋_GB2312" w:hAnsi="仿宋_GB2312" w:cs="仿宋_GB2312" w:eastAsia="仿宋_GB2312"/>
                <w:sz w:val="21"/>
              </w:rPr>
              <w:t>：</w:t>
            </w:r>
            <w:r>
              <w:rPr>
                <w:rFonts w:ascii="仿宋_GB2312" w:hAnsi="仿宋_GB2312" w:cs="仿宋_GB2312" w:eastAsia="仿宋_GB2312"/>
                <w:sz w:val="21"/>
              </w:rPr>
              <w:t>合同签订后45日历天；</w:t>
            </w:r>
            <w:r>
              <w:rPr>
                <w:rFonts w:ascii="仿宋_GB2312" w:hAnsi="仿宋_GB2312" w:cs="仿宋_GB2312" w:eastAsia="仿宋_GB2312"/>
                <w:sz w:val="21"/>
              </w:rPr>
              <w:t>质量标准：</w:t>
            </w:r>
            <w:r>
              <w:rPr>
                <w:rFonts w:ascii="仿宋_GB2312" w:hAnsi="仿宋_GB2312" w:cs="仿宋_GB2312" w:eastAsia="仿宋_GB2312"/>
                <w:sz w:val="21"/>
              </w:rPr>
              <w:t>合格。</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rPr>
              <w:t>计价软件</w:t>
            </w:r>
            <w:r>
              <w:rPr>
                <w:rFonts w:ascii="仿宋_GB2312" w:hAnsi="仿宋_GB2312" w:cs="仿宋_GB2312" w:eastAsia="仿宋_GB2312"/>
                <w:sz w:val="21"/>
              </w:rPr>
              <w:t>：使用广联达GCCP6.0版本进行编制</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rPr>
              <w:t>工程量清单（详见附件）。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1.各供应商所有分项报价（与最后磋商报价比例一致）同比例下浮。 2.本项目通过电子化交易系统协商，供应商需在电子化交易系统上传响应的文件。中标供应商领取中标（成交）通知书时，向采购代理机构提供一正两副纸质投标文件及电子版1份（须包含：签字盖章扫描PDF和word文档格式、投标预算书，U盘存储）。 3.供应商应自协商文件递交截止时间起至开标结束，保持在线状态。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截至资格预审申请文件提交截止日一年内银行出具的资信证明，③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供应商须具备建设行政主管部门核发的建筑工程施工总承包三级及以上资质或市政公用工程施工总承包三级及以上资质，并且具有合格有效安全生产许可证，提供未拖欠农民工工资承诺或声明函。</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项目负责人须具备建筑工程二级及以上或市政公用工程专业二级及以上注册建造师资格，并具有行业主管部门核发的（B）类安全考核合格证书，且无在建项目；在“陕西省建筑市场监管与诚信信息发布平台”可查询到供应商及其拟派项目经理信息。</w:t>
            </w:r>
          </w:p>
        </w:tc>
        <w:tc>
          <w:tcPr>
            <w:tcW w:type="dxa" w:w="1661"/>
          </w:tcPr>
          <w:p>
            <w:pPr>
              <w:pStyle w:val="null3"/>
            </w:pPr>
            <w:r>
              <w:rPr>
                <w:rFonts w:ascii="仿宋_GB2312" w:hAnsi="仿宋_GB2312" w:cs="仿宋_GB2312" w:eastAsia="仿宋_GB2312"/>
              </w:rPr>
              <w:t>项目管理机构组成表 供应商应提交的相关资格证明材料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须提供《汉中市政府采购供应商资格承诺函》，对其财务状况、依法缴纳税收、依法缴纳社会保障金状况、具备履行合同所必需的设备和专业技术能力及参加政府采购活动（以开启时间为准）前3年内，在经营活动中没有重大违法记录等状况做出真实、合法、有效的承诺。供应商未提供资格信用承诺函的，应当按照《中华人民共和国政府采购法》及其实施条例等相关法律法规的规定提供相应的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联合体响应及分包</w:t>
            </w:r>
          </w:p>
        </w:tc>
        <w:tc>
          <w:tcPr>
            <w:tcW w:type="dxa" w:w="3322"/>
          </w:tcPr>
          <w:p>
            <w:pPr>
              <w:pStyle w:val="null3"/>
            </w:pPr>
            <w:r>
              <w:rPr>
                <w:rFonts w:ascii="仿宋_GB2312" w:hAnsi="仿宋_GB2312" w:cs="仿宋_GB2312" w:eastAsia="仿宋_GB2312"/>
              </w:rPr>
              <w:t>本项目不接受联合体响应，不允许分包。供应商应提供《非联合体不分包投标声明》，视为独立投标，不分包。</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1、以支票、汇票、本票（从企业基本账户转入指定账户）缴纳需提供缴纳凭证及开户银行许可证； 2、以保函等非现金形式提交需提供由基本账户银行或政府采购信用担保机构出具的担保函。</w:t>
            </w:r>
          </w:p>
        </w:tc>
        <w:tc>
          <w:tcPr>
            <w:tcW w:type="dxa" w:w="1661"/>
          </w:tcPr>
          <w:p>
            <w:pPr>
              <w:pStyle w:val="null3"/>
            </w:pPr>
            <w:r>
              <w:rPr>
                <w:rFonts w:ascii="仿宋_GB2312" w:hAnsi="仿宋_GB2312" w:cs="仿宋_GB2312" w:eastAsia="仿宋_GB2312"/>
              </w:rPr>
              <w:t>投标保证金.docx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响应文件语言及计量单位</w:t>
            </w:r>
          </w:p>
        </w:tc>
        <w:tc>
          <w:tcPr>
            <w:tcW w:type="dxa" w:w="3322"/>
          </w:tcPr>
          <w:p>
            <w:pPr>
              <w:pStyle w:val="null3"/>
            </w:pPr>
            <w:r>
              <w:rPr>
                <w:rFonts w:ascii="仿宋_GB2312" w:hAnsi="仿宋_GB2312" w:cs="仿宋_GB2312" w:eastAsia="仿宋_GB2312"/>
              </w:rPr>
              <w:t>均符合磋商文件的要求。</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响应文件以下三处的项目名称、项目编号、标段（未分标段的除外）无遗漏，且与本项目一致： （1）封面； （2）响应函； （3）法定代表人（主要负责人）委托授权书/身份证明。 说明：以第一章磋商公告中的项目名称、项目编号为准。</w:t>
            </w:r>
          </w:p>
        </w:tc>
        <w:tc>
          <w:tcPr>
            <w:tcW w:type="dxa" w:w="1661"/>
          </w:tcPr>
          <w:p>
            <w:pPr>
              <w:pStyle w:val="null3"/>
            </w:pPr>
            <w:r>
              <w:rPr>
                <w:rFonts w:ascii="仿宋_GB2312" w:hAnsi="仿宋_GB2312" w:cs="仿宋_GB2312" w:eastAsia="仿宋_GB2312"/>
              </w:rPr>
              <w:t>响应文件封面 报价函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响应文件应包含以下内容： （1）响应函； （2）第一次磋商报价表、项目费用明细表（磋商文件未作要求的除外）； （3）资格证明文件； （4）供应商概况； （5）供应商参加政府采购活动承诺书； （6）响应方案。</w:t>
            </w:r>
          </w:p>
        </w:tc>
        <w:tc>
          <w:tcPr>
            <w:tcW w:type="dxa" w:w="1661"/>
          </w:tcPr>
          <w:p>
            <w:pPr>
              <w:pStyle w:val="null3"/>
            </w:pPr>
            <w:r>
              <w:rPr>
                <w:rFonts w:ascii="仿宋_GB2312" w:hAnsi="仿宋_GB2312" w:cs="仿宋_GB2312" w:eastAsia="仿宋_GB2312"/>
              </w:rPr>
              <w:t>响应文件封面 技术方案.docx 已标价工程量清单 报价函 技术服务合同条款及其他商务要求应答表 供应商应提交的相关资格证明材料 商务应答表.docx 响应函 投标保证金.docx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签字、盖章符合磋商文件要求，且无遗漏。</w:t>
            </w:r>
          </w:p>
        </w:tc>
        <w:tc>
          <w:tcPr>
            <w:tcW w:type="dxa" w:w="1661"/>
          </w:tcPr>
          <w:p>
            <w:pPr>
              <w:pStyle w:val="null3"/>
            </w:pPr>
            <w:r>
              <w:rPr>
                <w:rFonts w:ascii="仿宋_GB2312" w:hAnsi="仿宋_GB2312" w:cs="仿宋_GB2312" w:eastAsia="仿宋_GB2312"/>
              </w:rPr>
              <w:t>响应文件封面 报价函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响应文件份数</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 （2） 第一次磋商报价表填写符合要求； （3） 计量单位、报价货币均符合磋商文件要求； （4） 磋商报价未超出采购预算或磋商文件规定的最高限价。</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完全理解并接受磋商文件合同条款的要求。</w:t>
            </w:r>
          </w:p>
        </w:tc>
        <w:tc>
          <w:tcPr>
            <w:tcW w:type="dxa" w:w="1661"/>
          </w:tcPr>
          <w:p>
            <w:pPr>
              <w:pStyle w:val="null3"/>
            </w:pPr>
            <w:r>
              <w:rPr>
                <w:rFonts w:ascii="仿宋_GB2312" w:hAnsi="仿宋_GB2312" w:cs="仿宋_GB2312" w:eastAsia="仿宋_GB2312"/>
              </w:rPr>
              <w:t>合同格式.docx 技术服务合同条款及其他商务要求应答表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完全理解并接受法律法规和磋商文件对供应商的各项须知、规约要求和责任义务，没有出现法律法规或磋商文件明确规定的其他被视为“无效响应”的情形。</w:t>
            </w:r>
          </w:p>
        </w:tc>
        <w:tc>
          <w:tcPr>
            <w:tcW w:type="dxa" w:w="1661"/>
          </w:tcPr>
          <w:p>
            <w:pPr>
              <w:pStyle w:val="null3"/>
            </w:pPr>
            <w:r>
              <w:rPr>
                <w:rFonts w:ascii="仿宋_GB2312" w:hAnsi="仿宋_GB2312" w:cs="仿宋_GB2312" w:eastAsia="仿宋_GB2312"/>
              </w:rPr>
              <w:t>响应文件封面 汉中市政府采购投标人资格承诺函.docx 响应函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响应报价</w:t>
            </w:r>
          </w:p>
        </w:tc>
        <w:tc>
          <w:tcPr>
            <w:tcW w:type="dxa" w:w="2492"/>
          </w:tcPr>
          <w:p>
            <w:pPr>
              <w:pStyle w:val="null3"/>
            </w:pPr>
            <w:r>
              <w:rPr>
                <w:rFonts w:ascii="仿宋_GB2312" w:hAnsi="仿宋_GB2312" w:cs="仿宋_GB2312" w:eastAsia="仿宋_GB2312"/>
              </w:rPr>
              <w:t>①满足招标文件要求且投标价格最低的投标报价为评标基准价，其价格分为满分。其他投标人的价格分统一按照下列公式计算：投标报价得分=（评标基准价/投标报价）×30 ②本项目为专门面向中小企业项目，不再执行价格评审优惠的扶持政策。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供应商针对本项目提供具体详细可行的①总体布置②施工方法③施工技术方案。二、评审标准： 1、完整性：方案必须全面完整； 2、合理性：切合本项目实际情况，提出步骤清晰、合理的方案；3、针对性：方案能够紧扣项目实际情况，工程重点难点、施工关键技术工艺是否把握准确。三、赋分标准： ①总体布置：每完全满足一个评审标准得2分，满分 6分； ②施工方法：每完全满足一个评审标准得2分，满分6分；③施工技术方案：每完全满足一个评审标准得2分，满分 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安全生产目标及保证措施</w:t>
            </w:r>
          </w:p>
        </w:tc>
        <w:tc>
          <w:tcPr>
            <w:tcW w:type="dxa" w:w="2492"/>
          </w:tcPr>
          <w:p>
            <w:pPr>
              <w:pStyle w:val="null3"/>
            </w:pPr>
            <w:r>
              <w:rPr>
                <w:rFonts w:ascii="仿宋_GB2312" w:hAnsi="仿宋_GB2312" w:cs="仿宋_GB2312" w:eastAsia="仿宋_GB2312"/>
              </w:rPr>
              <w:t>一、评审内容：供应商针对本项目有完整、详细的①安全生产目标②保证措施； 二、评审标准 1、完整性：内容必须全面，对评审内容中的各项要求有详细描述；2、合理性：切合本项目实际情况，提出步骤准确、清晰、合理的方案； 3、针对性：目标和措施能够紧扣项目实际情况，有效保证计划实施。 三、赋分标准； ①安全生产目标：每完全满足一个评审标准得1分，满分3分； ②安全生产目标保证措施：每完全满足一个评审标准得1分，满分 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报价函</w:t>
            </w:r>
          </w:p>
        </w:tc>
      </w:tr>
      <w:tr>
        <w:tc>
          <w:tcPr>
            <w:tcW w:type="dxa" w:w="831"/>
            <w:vMerge/>
          </w:tcPr>
          <w:p/>
        </w:tc>
        <w:tc>
          <w:tcPr>
            <w:tcW w:type="dxa" w:w="1661"/>
          </w:tcPr>
          <w:p>
            <w:pPr>
              <w:pStyle w:val="null3"/>
            </w:pPr>
            <w:r>
              <w:rPr>
                <w:rFonts w:ascii="仿宋_GB2312" w:hAnsi="仿宋_GB2312" w:cs="仿宋_GB2312" w:eastAsia="仿宋_GB2312"/>
              </w:rPr>
              <w:t>施工工期进度计划和保证措施</w:t>
            </w:r>
          </w:p>
        </w:tc>
        <w:tc>
          <w:tcPr>
            <w:tcW w:type="dxa" w:w="2492"/>
          </w:tcPr>
          <w:p>
            <w:pPr>
              <w:pStyle w:val="null3"/>
            </w:pPr>
            <w:r>
              <w:rPr>
                <w:rFonts w:ascii="仿宋_GB2312" w:hAnsi="仿宋_GB2312" w:cs="仿宋_GB2312" w:eastAsia="仿宋_GB2312"/>
              </w:rPr>
              <w:t>一、评审内容 供应商针对本项目有完整、详细的①施工工期进度计划②保证措施； 二、评审标准 1、完整性：内容必须全面，对评审内容中的各项要求有详细描述；2、合理性：切合本项目实际情况，提出步骤准确、清晰、合理的方案； 3、针对性：计划和措施能够紧扣项目实际情况，有效保证计划实施。 三、赋分标准； 1、施工工期进度计划：每完全满足一个评审标准得1分，满分3分；2、保证措施：每完全满足一个评审标准得1分，满分3分；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质量保证体系与措施</w:t>
            </w:r>
          </w:p>
        </w:tc>
        <w:tc>
          <w:tcPr>
            <w:tcW w:type="dxa" w:w="2492"/>
          </w:tcPr>
          <w:p>
            <w:pPr>
              <w:pStyle w:val="null3"/>
            </w:pPr>
            <w:r>
              <w:rPr>
                <w:rFonts w:ascii="仿宋_GB2312" w:hAnsi="仿宋_GB2312" w:cs="仿宋_GB2312" w:eastAsia="仿宋_GB2312"/>
              </w:rPr>
              <w:t>一、评审内容 供应商针对本项目有完整的施工质量保证体系与措施，包括①质量管理措施及职责；②材料采购质量保证措施；③过程控制及检验措施； 二、评审标准 1、完整性：内容必须全面，对评审内容中的各项要求有详细描述； 2、真实性：切合项目具体情况，明确责任及具体的方案； 3、针对性：方案能够紧扣项目实际情况，内容科学合理。 三、赋分标准； ①质量管理措施及职责：每完全满足一个评审标准得1分，满分3分； ②材料采购质量保证措施：每完全满足一个评审标准得1分，满分 3分； ③过程控制及检验措施：每完全满足一个评审标准得1分，满分3分；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劳动力配置及机械配备</w:t>
            </w:r>
          </w:p>
        </w:tc>
        <w:tc>
          <w:tcPr>
            <w:tcW w:type="dxa" w:w="2492"/>
          </w:tcPr>
          <w:p>
            <w:pPr>
              <w:pStyle w:val="null3"/>
            </w:pPr>
            <w:r>
              <w:rPr>
                <w:rFonts w:ascii="仿宋_GB2312" w:hAnsi="仿宋_GB2312" w:cs="仿宋_GB2312" w:eastAsia="仿宋_GB2312"/>
              </w:rPr>
              <w:t>一、评审内容： 供应商针对本项目准备的①劳动力配置②机械配备。二、评审标准： 1、劳动力配置：①人员结构设置完整合理、岗位责任明确，②管理机制健全；每完全满足一个评审标准得4分，满分 8分； 2、机械配备：①机械配备充分，②匹配施工工艺要求，③根据现场进度灵活增减设备、避免资源浪费；每完全满足一个评审标准得2分，满分6分。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08月01日起至今同类施工业绩，投标文件中附该业绩证明材料（证明材料为中标通知书或施工合同，成交或签订时间为2022年08月01日至本项目递交投标文件截止时间前三年），每提供一份业绩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人员资质</w:t>
            </w:r>
          </w:p>
        </w:tc>
        <w:tc>
          <w:tcPr>
            <w:tcW w:type="dxa" w:w="2492"/>
          </w:tcPr>
          <w:p>
            <w:pPr>
              <w:pStyle w:val="null3"/>
            </w:pPr>
            <w:r>
              <w:rPr>
                <w:rFonts w:ascii="仿宋_GB2312" w:hAnsi="仿宋_GB2312" w:cs="仿宋_GB2312" w:eastAsia="仿宋_GB2312"/>
              </w:rPr>
              <w:t>1、项目负责人须具备建筑工程专业工程师中级及以上职称证书得2分，初级得1分；2、为强化管理，项目部还应下设包括但不限于：技术负责人、施工员、安全员、质检员等管理人员，每具备一类人员得2分，最高得10分 3、以上人员均需提供相关证明证书及企业为其缴纳社保证明，不提供不得分。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详见附件：汉中市政府采购投标人资格承诺函.docx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