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版本号：SXWB-ZFCG-MX-[2025]04020250815001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勉县污水处理设施设备更新项目初步设计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SXWB-ZFCG-MX-[2025]040</w:t>
      </w:r>
      <w:r>
        <w:br/>
      </w:r>
      <w:r>
        <w:br/>
      </w:r>
      <w:r>
        <w:br/>
      </w:r>
    </w:p>
    <w:p>
      <w:pPr>
        <w:pStyle w:val="null3"/>
        <w:jc w:val="center"/>
        <w:outlineLvl w:val="2"/>
      </w:pPr>
      <w:r>
        <w:rPr>
          <w:rFonts w:ascii="仿宋_GB2312" w:hAnsi="仿宋_GB2312" w:cs="仿宋_GB2312" w:eastAsia="仿宋_GB2312"/>
          <w:sz w:val="28"/>
          <w:b/>
        </w:rPr>
        <w:t>勉县园林环卫服务中心</w:t>
      </w:r>
    </w:p>
    <w:p>
      <w:pPr>
        <w:pStyle w:val="null3"/>
        <w:jc w:val="center"/>
        <w:outlineLvl w:val="2"/>
      </w:pPr>
      <w:r>
        <w:rPr>
          <w:rFonts w:ascii="仿宋_GB2312" w:hAnsi="仿宋_GB2312" w:cs="仿宋_GB2312" w:eastAsia="仿宋_GB2312"/>
          <w:sz w:val="28"/>
          <w:b/>
        </w:rPr>
        <w:t>陕西万标项目管理有限公司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陕西万标项目管理有限公司</w:t>
      </w:r>
      <w:r>
        <w:rPr>
          <w:rFonts w:ascii="仿宋_GB2312" w:hAnsi="仿宋_GB2312" w:cs="仿宋_GB2312" w:eastAsia="仿宋_GB2312"/>
        </w:rPr>
        <w:t>（以下简称“代理机构”）受</w:t>
      </w:r>
      <w:r>
        <w:rPr>
          <w:rFonts w:ascii="仿宋_GB2312" w:hAnsi="仿宋_GB2312" w:cs="仿宋_GB2312" w:eastAsia="仿宋_GB2312"/>
        </w:rPr>
        <w:t>勉县园林环卫服务中心</w:t>
      </w:r>
      <w:r>
        <w:rPr>
          <w:rFonts w:ascii="仿宋_GB2312" w:hAnsi="仿宋_GB2312" w:cs="仿宋_GB2312" w:eastAsia="仿宋_GB2312"/>
        </w:rPr>
        <w:t>委托，拟对</w:t>
      </w:r>
      <w:r>
        <w:rPr>
          <w:rFonts w:ascii="仿宋_GB2312" w:hAnsi="仿宋_GB2312" w:cs="仿宋_GB2312" w:eastAsia="仿宋_GB2312"/>
        </w:rPr>
        <w:t>勉县污水处理设施设备更新项目初步设计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SXWB-ZFCG-MX-[2025]040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勉县污水处理设施设备更新项目初步设计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勉县江北污水处理厂、江南污水处理厂、江南污水提升泵站潜污泵、螺杆泵、闸门、格栅机、风机、搅拌器、滤料、加药泵、运输车辆、施工临时措施设备等设备及电气自控、阀门仪表的更新设计。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采购包1（勉县污水处理设施设备更新项目初步设计）：属于专门面向中小企业采购。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2、企业资质：供应商须具备工程设计综合资质甲级或市政行业工程设计乙级及以上资质或市政行业（排水工程）专业设计乙级及以上资质；</w:t>
      </w:r>
    </w:p>
    <w:p>
      <w:pPr>
        <w:pStyle w:val="null3"/>
      </w:pPr>
      <w:r>
        <w:rPr>
          <w:rFonts w:ascii="仿宋_GB2312" w:hAnsi="仿宋_GB2312" w:cs="仿宋_GB2312" w:eastAsia="仿宋_GB2312"/>
        </w:rPr>
        <w:t>3、拟派项目负责人资质和专业要求：拟派项目负责人须具备注册公用设备（给排水）工程师执业资格，具备相关专业高级及以上职称，且无不良记录。</w:t>
      </w:r>
    </w:p>
    <w:p>
      <w:pPr>
        <w:pStyle w:val="null3"/>
      </w:pPr>
      <w:r>
        <w:rPr>
          <w:rFonts w:ascii="仿宋_GB2312" w:hAnsi="仿宋_GB2312" w:cs="仿宋_GB2312" w:eastAsia="仿宋_GB2312"/>
        </w:rPr>
        <w:t>4、法定代表人或委托代理人身份证明：法定代表人参加投标须提供《法定代表人身份证明》及身份证复印件；法定代表人授权他人参加投标，须提供《法定代表人授权委托书》、委托代理人身份证复印件。</w:t>
      </w:r>
    </w:p>
    <w:p>
      <w:pPr>
        <w:pStyle w:val="null3"/>
      </w:pPr>
      <w:r>
        <w:rPr>
          <w:rFonts w:ascii="仿宋_GB2312" w:hAnsi="仿宋_GB2312" w:cs="仿宋_GB2312" w:eastAsia="仿宋_GB2312"/>
        </w:rPr>
        <w:t>5、资格承诺：供应商须提供《汉中市政府采购供应商资格承诺函》，对其财务状况、依法缴纳税收、依法缴纳社会保障金状况、具备履行合同所必需的设备和专业技术能力及参加政府采购活动（以开启时间为准）前3年内，在经营活动中没有重大违法记录等状况做出真实、合法、有效的承诺。供应商未提供资格信用承诺函的，应当按照《中华人民共和国政府采购法》及其实施条例等相关法律法规的规定提供相应的证明材料。</w:t>
      </w:r>
    </w:p>
    <w:p>
      <w:pPr>
        <w:pStyle w:val="null3"/>
      </w:pPr>
      <w:r>
        <w:rPr>
          <w:rFonts w:ascii="仿宋_GB2312" w:hAnsi="仿宋_GB2312" w:cs="仿宋_GB2312" w:eastAsia="仿宋_GB2312"/>
        </w:rPr>
        <w:t>6、联合体响应及分包：本项目不接受联合体响应，不允许分包。供应商应提供《非联合体不分包投标声明》，视为独立投标，不分包。</w:t>
      </w:r>
    </w:p>
    <w:p>
      <w:pPr>
        <w:pStyle w:val="null3"/>
      </w:pPr>
      <w:r>
        <w:rPr>
          <w:rFonts w:ascii="仿宋_GB2312" w:hAnsi="仿宋_GB2312" w:cs="仿宋_GB2312" w:eastAsia="仿宋_GB2312"/>
        </w:rPr>
        <w:t>7、投标保证金：1、以支票、汇票、本票（从企业基本账户转入指定账户）缴纳需提供缴纳凭证及开户银行许可证； 2、以保函等非现金形式提交需提供由基本账户银行或政府采购信用担保机构出具的担保函。</w:t>
      </w:r>
    </w:p>
    <w:p>
      <w:pPr>
        <w:pStyle w:val="null3"/>
      </w:pPr>
      <w:r>
        <w:rPr>
          <w:rFonts w:ascii="仿宋_GB2312" w:hAnsi="仿宋_GB2312" w:cs="仿宋_GB2312" w:eastAsia="仿宋_GB2312"/>
        </w:rPr>
        <w:t>8、中小企业政策落实：本采购包专门面向中小企业采购，参与的供应商（联合体）工程的施工单位全部为符合政策要求的中小企业。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勉县园林环卫服务中心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勉县天荡山路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15332532103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陕西万标项目管理有限公司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汉中市汉台区西环路中段鑫辉西部建材城二单元七楼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17762180526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不属于</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不属于</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不属于</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开户名称：陕西万标项目管理有限公司</w:t>
            </w:r>
          </w:p>
          <w:p>
            <w:pPr>
              <w:pStyle w:val="null3"/>
            </w:pPr>
            <w:r>
              <w:rPr>
                <w:rFonts w:ascii="仿宋_GB2312" w:hAnsi="仿宋_GB2312" w:cs="仿宋_GB2312" w:eastAsia="仿宋_GB2312"/>
              </w:rPr>
              <w:t>开户银行：中国建设银行股份有限公司汉中北一环路支行</w:t>
            </w:r>
          </w:p>
          <w:p>
            <w:pPr>
              <w:pStyle w:val="null3"/>
            </w:pPr>
            <w:r>
              <w:rPr>
                <w:rFonts w:ascii="仿宋_GB2312" w:hAnsi="仿宋_GB2312" w:cs="仿宋_GB2312" w:eastAsia="仿宋_GB2312"/>
              </w:rPr>
              <w:t>银行账号：61050165380000000437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说明：金额：合同签约价的 10% 形式：银行保函、保单保函、电汇转账任选其一，电汇须从投标单位基本账户转出。 缴纳时限：合同签订后 5 个工作日内。 退还：提交最终设计成果后 10日内无息返还。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印发《招标代理服务收费管理暂行办法》的通知（计价格〔2002〕1980号）、《国家发展和改革委员会办公厅关于招标代理服务收费有关问题的通知》（发改办价格〔2003〕857号）规定向中标投标人收取代理服务费。中标人在领取中标通知书前，向招标代理机构付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勉县园林环卫服务中心</w:t>
      </w:r>
      <w:r>
        <w:rPr>
          <w:rFonts w:ascii="仿宋_GB2312" w:hAnsi="仿宋_GB2312" w:cs="仿宋_GB2312" w:eastAsia="仿宋_GB2312"/>
        </w:rPr>
        <w:t>和</w:t>
      </w:r>
      <w:r>
        <w:rPr>
          <w:rFonts w:ascii="仿宋_GB2312" w:hAnsi="仿宋_GB2312" w:cs="仿宋_GB2312" w:eastAsia="仿宋_GB2312"/>
        </w:rPr>
        <w:t>陕西万标项目管理有限公司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勉县园林环卫服务中心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陕西万标项目管理有限公司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勉县园林环卫服务中心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陕西万标项目管理有限公司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按照国家相关法律法规及规范、标准验收。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陕西万标项目管理有限公司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陕西万标项目管理有限公司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陕西万标项目管理有限公司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联系人：张嘉</w:t>
      </w:r>
    </w:p>
    <w:p>
      <w:pPr>
        <w:pStyle w:val="null3"/>
      </w:pPr>
      <w:r>
        <w:rPr>
          <w:rFonts w:ascii="仿宋_GB2312" w:hAnsi="仿宋_GB2312" w:cs="仿宋_GB2312" w:eastAsia="仿宋_GB2312"/>
        </w:rPr>
        <w:t>联系电话：17762180526</w:t>
      </w:r>
    </w:p>
    <w:p>
      <w:pPr>
        <w:pStyle w:val="null3"/>
      </w:pPr>
      <w:r>
        <w:rPr>
          <w:rFonts w:ascii="仿宋_GB2312" w:hAnsi="仿宋_GB2312" w:cs="仿宋_GB2312" w:eastAsia="仿宋_GB2312"/>
        </w:rPr>
        <w:t>地址：汉中市汉台区西环路中段鑫辉西部建材城二单元七楼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勉县江北污水处理厂、江南污水处理厂、江南污水提升泵站潜污泵、螺杆泵、闸门、格栅机、风机、搅拌器、滤料、加药泵、运输车辆、施工临时措施设备等设备及电气自控、阀门仪表的更新设计。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1000000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次</w:t>
            </w:r>
          </w:p>
        </w:tc>
        <w:tc>
          <w:tcPr>
            <w:tcW w:type="dxa" w:w="831"/>
          </w:tcPr>
          <w:p>
            <w:pPr>
              <w:pStyle w:val="null3"/>
            </w:pPr>
            <w:r>
              <w:rPr>
                <w:rFonts w:ascii="仿宋_GB2312" w:hAnsi="仿宋_GB2312" w:cs="仿宋_GB2312" w:eastAsia="仿宋_GB2312"/>
              </w:rPr>
              <w:t>建筑业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标的名称：1000000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采购内容：</w:t>
            </w:r>
            <w:r>
              <w:rPr>
                <w:rFonts w:ascii="仿宋_GB2312" w:hAnsi="仿宋_GB2312" w:cs="仿宋_GB2312" w:eastAsia="仿宋_GB2312"/>
                <w:sz w:val="21"/>
              </w:rPr>
              <w:t>勉县江北污水处理厂、江南污水处理厂、江南污水提升泵站潜污泵、螺杆泵、闸门、格栅机、风机、搅拌器、滤料、加药泵、运输车辆、施工临时措施设备等设备及电气自控、阀门仪表的更新设计。设计工作内容包含初步设计（文本、图纸、概算书编制）、施工图设计、施工阶段设计交底答疑和验收配合。</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设计范围:</w:t>
            </w:r>
            <w:r>
              <w:rPr>
                <w:rFonts w:ascii="仿宋_GB2312" w:hAnsi="仿宋_GB2312" w:cs="仿宋_GB2312" w:eastAsia="仿宋_GB2312"/>
                <w:sz w:val="21"/>
              </w:rPr>
              <w:t>包含勉县江北污水处理厂设施设备更新、勉县江南污水处理厂设施设备更新、勉县江南污水提升泵站设施设备更新。主要建设内容包含</w:t>
            </w:r>
            <w:r>
              <w:rPr>
                <w:rFonts w:ascii="仿宋_GB2312" w:hAnsi="仿宋_GB2312" w:cs="仿宋_GB2312" w:eastAsia="仿宋_GB2312"/>
                <w:sz w:val="21"/>
                <w:b/>
              </w:rPr>
              <w:t>勉县江北污水处理厂</w:t>
            </w:r>
            <w:r>
              <w:rPr>
                <w:rFonts w:ascii="仿宋_GB2312" w:hAnsi="仿宋_GB2312" w:cs="仿宋_GB2312" w:eastAsia="仿宋_GB2312"/>
                <w:sz w:val="21"/>
              </w:rPr>
              <w:t>：更新更换污水设备68台/套、滤池纤维束滤料160m³、自动阀门25台、自控系统1套、在线检测仪表21台/套、检修作业车及运输车辆1台、1路10KV 双路电源等设施设备更新更换，以及为了设备更新更换顺利实施而增加的零时设施设备共计10台/套。</w:t>
            </w:r>
            <w:r>
              <w:rPr>
                <w:rFonts w:ascii="仿宋_GB2312" w:hAnsi="仿宋_GB2312" w:cs="仿宋_GB2312" w:eastAsia="仿宋_GB2312"/>
                <w:sz w:val="21"/>
                <w:b/>
              </w:rPr>
              <w:t>勉县</w:t>
            </w:r>
            <w:r>
              <w:rPr>
                <w:rFonts w:ascii="仿宋_GB2312" w:hAnsi="仿宋_GB2312" w:cs="仿宋_GB2312" w:eastAsia="仿宋_GB2312"/>
                <w:sz w:val="21"/>
                <w:b/>
              </w:rPr>
              <w:t>江南污水处理厂</w:t>
            </w:r>
            <w:r>
              <w:rPr>
                <w:rFonts w:ascii="仿宋_GB2312" w:hAnsi="仿宋_GB2312" w:cs="仿宋_GB2312" w:eastAsia="仿宋_GB2312"/>
                <w:sz w:val="21"/>
              </w:rPr>
              <w:t>：更新更换曝气系统2 套、ORP2 套、溶氧仪2套、污泥浓度仪2套、进水在线仪表1 套；增加高效沉淀池、转盘滤池、出水渠遮光棚，以及2台滤池消毒泵。勉县</w:t>
            </w:r>
            <w:r>
              <w:rPr>
                <w:rFonts w:ascii="仿宋_GB2312" w:hAnsi="仿宋_GB2312" w:cs="仿宋_GB2312" w:eastAsia="仿宋_GB2312"/>
                <w:sz w:val="21"/>
                <w:b/>
              </w:rPr>
              <w:t>江南提升泵站</w:t>
            </w:r>
            <w:r>
              <w:rPr>
                <w:rFonts w:ascii="仿宋_GB2312" w:hAnsi="仿宋_GB2312" w:cs="仿宋_GB2312" w:eastAsia="仿宋_GB2312"/>
                <w:sz w:val="21"/>
              </w:rPr>
              <w:t>：更新更换机械格栅、螺旋输送机、提升泵等10台污水设备、1座一体化智慧截流泵站，以及泵站电气自控系统各1套。</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设计要求：</w:t>
            </w:r>
            <w:r>
              <w:rPr>
                <w:rFonts w:ascii="仿宋_GB2312" w:hAnsi="仿宋_GB2312" w:cs="仿宋_GB2312" w:eastAsia="仿宋_GB2312"/>
                <w:sz w:val="21"/>
              </w:rPr>
              <w:t>（1）全程服务：包含方案设计、初步设计（设计概算）、施工图设计、施工配合服务（技术交底、图纸审查、设计变更、现场协调、竣工验收等）；（2）协调配合：与业主、使用科室、监理单位、总包单位、各分包单位紧密协作，解决接口问题；（3）深化设计审核：对各专业分包提交的深化设计图纸进行审核确认，确保符合总体设计要求和技术规范；（4）调试配合： 参与各系统的调试与验收。</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其他重要要求：</w:t>
            </w:r>
            <w:r>
              <w:rPr>
                <w:rFonts w:ascii="仿宋_GB2312" w:hAnsi="仿宋_GB2312" w:cs="仿宋_GB2312" w:eastAsia="仿宋_GB2312"/>
                <w:sz w:val="21"/>
              </w:rPr>
              <w:t>（1）成本控制与性价比：在满足功能和安全的前提下，考虑合理造价，选用性价比高的材料和设备；设计应便于施工，节约工期；（2）图纸表达规范清晰：符合制图标准，标注准确无误。</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设计提供成果：</w:t>
            </w:r>
            <w:r>
              <w:rPr>
                <w:rFonts w:ascii="仿宋_GB2312" w:hAnsi="仿宋_GB2312" w:cs="仿宋_GB2312" w:eastAsia="仿宋_GB2312"/>
                <w:sz w:val="21"/>
              </w:rPr>
              <w:t>初步设计评审版6套、报批版8套；施工图设计蓝图8套；以上为纸质版套数，需同步提供电子版PDF设计成果一份。</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合同履行期限：自合同生效之日起30日历天内完成全部设计成果并通过招标人组织的评审；其中：初步设计15天，施工图设计15天。</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设计规范依据：应依据但不限于以下文件</w:t>
            </w:r>
          </w:p>
          <w:p>
            <w:pPr>
              <w:pStyle w:val="null3"/>
              <w:jc w:val="both"/>
            </w:pPr>
            <w:r>
              <w:rPr>
                <w:rFonts w:ascii="仿宋_GB2312" w:hAnsi="仿宋_GB2312" w:cs="仿宋_GB2312" w:eastAsia="仿宋_GB2312"/>
                <w:sz w:val="21"/>
              </w:rPr>
              <w:t>《推动大规模设备更新和消费品以旧换新行动方案》（国发〔2024〕7号）；</w:t>
            </w:r>
          </w:p>
          <w:p>
            <w:pPr>
              <w:pStyle w:val="null3"/>
              <w:jc w:val="both"/>
            </w:pPr>
            <w:r>
              <w:rPr>
                <w:rFonts w:ascii="仿宋_GB2312" w:hAnsi="仿宋_GB2312" w:cs="仿宋_GB2312" w:eastAsia="仿宋_GB2312"/>
                <w:sz w:val="21"/>
              </w:rPr>
              <w:t>《关于印发推进建筑和市政基础设施设备更新工作实施方案》的通知（建城规〔2024〕2号）；</w:t>
            </w:r>
          </w:p>
          <w:p>
            <w:pPr>
              <w:pStyle w:val="null3"/>
              <w:jc w:val="both"/>
            </w:pPr>
            <w:r>
              <w:rPr>
                <w:rFonts w:ascii="仿宋_GB2312" w:hAnsi="仿宋_GB2312" w:cs="仿宋_GB2312" w:eastAsia="仿宋_GB2312"/>
                <w:sz w:val="21"/>
              </w:rPr>
              <w:t>《关于加力支持大规模设备更新和消费品以旧换新的若干措施》的通知（发改环资〔2024〕1104号）；</w:t>
            </w:r>
          </w:p>
          <w:p>
            <w:pPr>
              <w:pStyle w:val="null3"/>
              <w:jc w:val="both"/>
            </w:pPr>
            <w:r>
              <w:rPr>
                <w:rFonts w:ascii="仿宋_GB2312" w:hAnsi="仿宋_GB2312" w:cs="仿宋_GB2312" w:eastAsia="仿宋_GB2312"/>
                <w:sz w:val="21"/>
              </w:rPr>
              <w:t>《关于印发推动大规模设备更新和消费品以旧换新若干措施》的通知（陕财发〔2024〕3号）；</w:t>
            </w:r>
          </w:p>
          <w:p>
            <w:pPr>
              <w:pStyle w:val="null3"/>
              <w:jc w:val="both"/>
            </w:pPr>
            <w:r>
              <w:rPr>
                <w:rFonts w:ascii="仿宋_GB2312" w:hAnsi="仿宋_GB2312" w:cs="仿宋_GB2312" w:eastAsia="仿宋_GB2312"/>
                <w:sz w:val="21"/>
              </w:rPr>
              <w:t>《工业重点行业领域设备更新和技术改造指南》（工信厅规〔2024〕33号）；</w:t>
            </w:r>
          </w:p>
          <w:p>
            <w:pPr>
              <w:pStyle w:val="null3"/>
              <w:jc w:val="both"/>
            </w:pPr>
            <w:r>
              <w:rPr>
                <w:rFonts w:ascii="仿宋_GB2312" w:hAnsi="仿宋_GB2312" w:cs="仿宋_GB2312" w:eastAsia="仿宋_GB2312"/>
                <w:sz w:val="21"/>
              </w:rPr>
              <w:t>《陕西省加力支持大规模设备更新和消费品以旧换新实施方案》（陕发改环资〔2024〕1671号）；</w:t>
            </w:r>
          </w:p>
          <w:p>
            <w:pPr>
              <w:pStyle w:val="null3"/>
              <w:jc w:val="both"/>
            </w:pPr>
            <w:r>
              <w:rPr>
                <w:rFonts w:ascii="仿宋_GB2312" w:hAnsi="仿宋_GB2312" w:cs="仿宋_GB2312" w:eastAsia="仿宋_GB2312"/>
                <w:sz w:val="21"/>
              </w:rPr>
              <w:t>《工程建设标准强制性条文》（城市建设部分）（建标〔2000〕202号）；</w:t>
            </w:r>
          </w:p>
          <w:p>
            <w:pPr>
              <w:pStyle w:val="null3"/>
              <w:jc w:val="both"/>
            </w:pPr>
            <w:r>
              <w:rPr>
                <w:rFonts w:ascii="仿宋_GB2312" w:hAnsi="仿宋_GB2312" w:cs="仿宋_GB2312" w:eastAsia="仿宋_GB2312"/>
                <w:sz w:val="21"/>
              </w:rPr>
              <w:t>《给水排水设计手册 第十册 技术经济》（第三版）。</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按项目需要自行配置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按项目需要自行配置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自合同生效之日起 30日历天内完成全部设计成果并通过招标人组织的评审；其中：初步设计 15天，施工图设计15天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汉中市勉县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标准：国家现行《建筑工程设计文件编制深度规定》及本项目《设计任务书》。 方法： 1. 设计人提交纸质成果 6 套； 2. 初设招标人组织 3人以上专家评审会； 3. 评审通过后拿到初步设计批复，视为该阶段验收合格。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初步设计完成并通过评审</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施工图设计完成并通过审查</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工程竣工，审计结束</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合同法》、《中华人民共和国政府采购法》的相关条款规定和本合同约定，成交人未全面履行合同义务或者发生违约，采购人会同招标组织机构有权终止合同，依法向成交人进行经济索赔，并报请政府采购监督管理机关依法进行相应的行政处罚。采购人违约的，应当赔偿给成交人造成的经济损失。合同执行中发生争议的，当事人双方应协商解决，协商达不成一致时，可向当地行政仲裁机关申请仲裁或者向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1.各供应商所有分项报价（与最后磋商报价比例一致）同比例下浮。 2.本项目通过电子化交易系统协商，供应商需在电子化交易系统上传响应的文件。中标供应商领取中标（成交）通知书时，向采购代理机构提供一正两副纸质投标文件及电子版1份（须包含：签字盖章扫描PDF和word文档格式、投标预算书，U盘存储）。 3.供应商应自协商文件递交截止时间起至开标结束，保持在线状态。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2024年度经审计的财务报告（包含审计报告和审计报告中所涉及的财务报表和报表附注），②可提供截至资格预审申请文件提交截止日一年内银行出具的资信证明，③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 汉中市政府采购投标人资格承诺函.docx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供应商须具备工程设计综合资质甲级或市政行业工程设计乙级及以上资质或市政行业（排水工程）专业设计乙级及以上资质；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拟派项目负责人须具备注册公用设备（给排水）工程师执业资格，具备相关专业高级及以上职称，且无不良记录。</w:t>
            </w:r>
          </w:p>
        </w:tc>
        <w:tc>
          <w:tcPr>
            <w:tcW w:type="dxa" w:w="1661"/>
          </w:tcPr>
          <w:p>
            <w:pPr>
              <w:pStyle w:val="null3"/>
            </w:pPr>
            <w:r>
              <w:rPr>
                <w:rFonts w:ascii="仿宋_GB2312" w:hAnsi="仿宋_GB2312" w:cs="仿宋_GB2312" w:eastAsia="仿宋_GB2312"/>
              </w:rPr>
              <w:t>供应商应提交的相关资格证明材料 项目管理机构组成表.docx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法定代表人或委托代理人身份证明</w:t>
            </w:r>
          </w:p>
        </w:tc>
        <w:tc>
          <w:tcPr>
            <w:tcW w:type="dxa" w:w="3322"/>
          </w:tcPr>
          <w:p>
            <w:pPr>
              <w:pStyle w:val="null3"/>
            </w:pPr>
            <w:r>
              <w:rPr>
                <w:rFonts w:ascii="仿宋_GB2312" w:hAnsi="仿宋_GB2312" w:cs="仿宋_GB2312" w:eastAsia="仿宋_GB2312"/>
              </w:rPr>
              <w:t>法定代表人参加投标须提供《法定代表人身份证明》及身份证复印件；法定代表人授权他人参加投标，须提供《法定代表人授权委托书》、委托代理人身份证复印件。</w:t>
            </w:r>
          </w:p>
        </w:tc>
        <w:tc>
          <w:tcPr>
            <w:tcW w:type="dxa" w:w="1661"/>
          </w:tcPr>
          <w:p>
            <w:pPr>
              <w:pStyle w:val="null3"/>
            </w:pPr>
            <w:r>
              <w:rPr>
                <w:rFonts w:ascii="仿宋_GB2312" w:hAnsi="仿宋_GB2312" w:cs="仿宋_GB2312" w:eastAsia="仿宋_GB2312"/>
              </w:rPr>
              <w:t>授权委托书.docx 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资格承诺</w:t>
            </w:r>
          </w:p>
        </w:tc>
        <w:tc>
          <w:tcPr>
            <w:tcW w:type="dxa" w:w="3322"/>
          </w:tcPr>
          <w:p>
            <w:pPr>
              <w:pStyle w:val="null3"/>
            </w:pPr>
            <w:r>
              <w:rPr>
                <w:rFonts w:ascii="仿宋_GB2312" w:hAnsi="仿宋_GB2312" w:cs="仿宋_GB2312" w:eastAsia="仿宋_GB2312"/>
              </w:rPr>
              <w:t>供应商须提供《汉中市政府采购供应商资格承诺函》，对其财务状况、依法缴纳税收、依法缴纳社会保障金状况、具备履行合同所必需的设备和专业技术能力及参加政府采购活动（以开启时间为准）前3年内，在经营活动中没有重大违法记录等状况做出真实、合法、有效的承诺。供应商未提供资格信用承诺函的，应当按照《中华人民共和国政府采购法》及其实施条例等相关法律法规的规定提供相应的证明材料。</w:t>
            </w:r>
          </w:p>
        </w:tc>
        <w:tc>
          <w:tcPr>
            <w:tcW w:type="dxa" w:w="1661"/>
          </w:tcPr>
          <w:p>
            <w:pPr>
              <w:pStyle w:val="null3"/>
            </w:pPr>
            <w:r>
              <w:rPr>
                <w:rFonts w:ascii="仿宋_GB2312" w:hAnsi="仿宋_GB2312" w:cs="仿宋_GB2312" w:eastAsia="仿宋_GB2312"/>
              </w:rPr>
              <w:t>供应商应提交的相关资格证明材料 汉中市政府采购投标人资格承诺函.docx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联合体响应及分包</w:t>
            </w:r>
          </w:p>
        </w:tc>
        <w:tc>
          <w:tcPr>
            <w:tcW w:type="dxa" w:w="3322"/>
          </w:tcPr>
          <w:p>
            <w:pPr>
              <w:pStyle w:val="null3"/>
            </w:pPr>
            <w:r>
              <w:rPr>
                <w:rFonts w:ascii="仿宋_GB2312" w:hAnsi="仿宋_GB2312" w:cs="仿宋_GB2312" w:eastAsia="仿宋_GB2312"/>
              </w:rPr>
              <w:t>本项目不接受联合体响应，不允许分包。供应商应提供《非联合体不分包投标声明》，视为独立投标，不分包。</w:t>
            </w:r>
          </w:p>
        </w:tc>
        <w:tc>
          <w:tcPr>
            <w:tcW w:type="dxa" w:w="1661"/>
          </w:tcPr>
          <w:p>
            <w:pPr>
              <w:pStyle w:val="null3"/>
            </w:pPr>
            <w:r>
              <w:rPr>
                <w:rFonts w:ascii="仿宋_GB2312" w:hAnsi="仿宋_GB2312" w:cs="仿宋_GB2312" w:eastAsia="仿宋_GB2312"/>
              </w:rPr>
              <w:t>供应商应提交的相关资格证明材料 非联合体不分包投标声明.docx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1、以支票、汇票、本票（从企业基本账户转入指定账户）缴纳需提供缴纳凭证及开户银行许可证； 2、以保函等非现金形式提交需提供由基本账户银行或政府采购信用担保机构出具的担保函。</w:t>
            </w:r>
          </w:p>
        </w:tc>
        <w:tc>
          <w:tcPr>
            <w:tcW w:type="dxa" w:w="1661"/>
          </w:tcPr>
          <w:p>
            <w:pPr>
              <w:pStyle w:val="null3"/>
            </w:pPr>
            <w:r>
              <w:rPr>
                <w:rFonts w:ascii="仿宋_GB2312" w:hAnsi="仿宋_GB2312" w:cs="仿宋_GB2312" w:eastAsia="仿宋_GB2312"/>
              </w:rPr>
              <w:t>投标保证金.docx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中小企业政策落实</w:t>
            </w:r>
          </w:p>
        </w:tc>
        <w:tc>
          <w:tcPr>
            <w:tcW w:type="dxa" w:w="3322"/>
          </w:tcPr>
          <w:p>
            <w:pPr>
              <w:pStyle w:val="null3"/>
            </w:pPr>
            <w:r>
              <w:rPr>
                <w:rFonts w:ascii="仿宋_GB2312" w:hAnsi="仿宋_GB2312" w:cs="仿宋_GB2312" w:eastAsia="仿宋_GB2312"/>
              </w:rPr>
              <w:t>本采购包专门面向中小企业采购，参与的供应商（联合体）工程的施工单位全部为符合政策要求的中小企业。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其它需要响应的内容</w:t>
            </w:r>
          </w:p>
        </w:tc>
        <w:tc>
          <w:tcPr>
            <w:tcW w:type="dxa" w:w="3322"/>
          </w:tcPr>
          <w:p>
            <w:pPr>
              <w:pStyle w:val="null3"/>
            </w:pPr>
            <w:r>
              <w:rPr>
                <w:rFonts w:ascii="仿宋_GB2312" w:hAnsi="仿宋_GB2312" w:cs="仿宋_GB2312" w:eastAsia="仿宋_GB2312"/>
              </w:rPr>
              <w:t>1、磋商响应文件应按照磋商文件规定要求签署、盖章；2、须满足本磋商文件中“服务期限、服务地点、支付方式、支付约定”的实质性条款要求； 3、文件有效期符合磋商文件要求； 4、磋商报价同时满足以下条款：（1）磋商报价符合唯一性要求；（2）第一次磋商报价表填写符合要求；（3）计量单位、报价货币均符合磋商文件要求；（4）磋商报价未超出采购预算或磋商文件规定的最高限价。 5、法律、法规和磋商文件规定的其他无效情形。</w:t>
            </w:r>
          </w:p>
        </w:tc>
        <w:tc>
          <w:tcPr>
            <w:tcW w:type="dxa" w:w="1661"/>
          </w:tcPr>
          <w:p>
            <w:pPr>
              <w:pStyle w:val="null3"/>
            </w:pPr>
            <w:r>
              <w:rPr>
                <w:rFonts w:ascii="仿宋_GB2312" w:hAnsi="仿宋_GB2312" w:cs="仿宋_GB2312" w:eastAsia="仿宋_GB2312"/>
              </w:rPr>
              <w:t>响应文件封面 合同格式.docx 中小企业声明函 残疾人福利性单位声明函 授权委托书.docx 标的清单 报价表 汉中市政府采购投标人资格承诺函.docx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总体设计思路</w:t>
            </w:r>
          </w:p>
        </w:tc>
        <w:tc>
          <w:tcPr>
            <w:tcW w:type="dxa" w:w="2492"/>
          </w:tcPr>
          <w:p>
            <w:pPr>
              <w:pStyle w:val="null3"/>
            </w:pPr>
            <w:r>
              <w:rPr>
                <w:rFonts w:ascii="仿宋_GB2312" w:hAnsi="仿宋_GB2312" w:cs="仿宋_GB2312" w:eastAsia="仿宋_GB2312"/>
              </w:rPr>
              <w:t>1：总体设计思路清晰、合理、全面得15-20分。 2：总体设计思路正确、能够满足项目需求、基本全面得9-14分。 3：总体设计思路基本正确、基本满足项目需求、较为片面得1-8分。 4：未提供不得分。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1：设计方案内容完整、方案合理、管网做法详细得10-14分。 2：设计方案内容基本完整、基本合理、管网做法基本详细得6-9分。 3：设计方案不够完整、不够合理得1-5分。 4：未提供不得分。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设计周期、进度计划保证措施</w:t>
            </w:r>
          </w:p>
        </w:tc>
        <w:tc>
          <w:tcPr>
            <w:tcW w:type="dxa" w:w="2492"/>
          </w:tcPr>
          <w:p>
            <w:pPr>
              <w:pStyle w:val="null3"/>
            </w:pPr>
            <w:r>
              <w:rPr>
                <w:rFonts w:ascii="仿宋_GB2312" w:hAnsi="仿宋_GB2312" w:cs="仿宋_GB2312" w:eastAsia="仿宋_GB2312"/>
              </w:rPr>
              <w:t>1：设计周期计划详细、合理，进度计划保证措施切实可行提前完成5天，人员工作安排详细、科学得10-13分。 2：设计周期计划详细，进度计划保证措施基本可行按时完成，人员工作安排基本合理得5-9分。 3：设计周期计划基本满足需求，进度计划保证措施有一定可行性，有人员工作安排计划得1-4分。 4：未提供不得分。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设计工作重点、难点分析及合理化建议</w:t>
            </w:r>
          </w:p>
        </w:tc>
        <w:tc>
          <w:tcPr>
            <w:tcW w:type="dxa" w:w="2492"/>
          </w:tcPr>
          <w:p>
            <w:pPr>
              <w:pStyle w:val="null3"/>
            </w:pPr>
            <w:r>
              <w:rPr>
                <w:rFonts w:ascii="仿宋_GB2312" w:hAnsi="仿宋_GB2312" w:cs="仿宋_GB2312" w:eastAsia="仿宋_GB2312"/>
              </w:rPr>
              <w:t>1：指出设计工作重点、难点并进行详细分析，针对重点、难点提出科学、可行的合理化建议得7-10分。 2：指出设计工作重点、难点并进行分析，针对重点、难点提出合理化建议得4-6分。 3：指出设计工作重点、难点，针对重点、难点提出建议得1-3分。 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后续配合服务承诺及保证措施</w:t>
            </w:r>
          </w:p>
        </w:tc>
        <w:tc>
          <w:tcPr>
            <w:tcW w:type="dxa" w:w="2492"/>
          </w:tcPr>
          <w:p>
            <w:pPr>
              <w:pStyle w:val="null3"/>
            </w:pPr>
            <w:r>
              <w:rPr>
                <w:rFonts w:ascii="仿宋_GB2312" w:hAnsi="仿宋_GB2312" w:cs="仿宋_GB2312" w:eastAsia="仿宋_GB2312"/>
              </w:rPr>
              <w:t>1：具有详细、完整的后续配合服务内容，科学、全面的服务承诺及保证措施得7-10分。 2：具有详细的后续配合服务内容，全面的服务承诺及保证措施得4-6分。 3：具有后续配合服务内容，基本的服务承诺及保证措施得1-3分。 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项目组人员</w:t>
            </w:r>
          </w:p>
        </w:tc>
        <w:tc>
          <w:tcPr>
            <w:tcW w:type="dxa" w:w="2492"/>
          </w:tcPr>
          <w:p>
            <w:pPr>
              <w:pStyle w:val="null3"/>
            </w:pPr>
            <w:r>
              <w:rPr>
                <w:rFonts w:ascii="仿宋_GB2312" w:hAnsi="仿宋_GB2312" w:cs="仿宋_GB2312" w:eastAsia="仿宋_GB2312"/>
              </w:rPr>
              <w:t>配备的相关专业负责人需具有（注册一级建筑师、注册一级结构师、注册电气工程师（供配电）、注册造价工程师、注册公用设备工程师（给水排水）、注册暖通工程师）各专业负责人持证上岗并配备齐全得12分，每缺1个扣2分，扣完为止。 评审依据：提供人员证件及6个月内在本单位所缴纳的社会保险参保缴费情况证明。</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项目管理机构组成表.docx</w:t>
            </w:r>
          </w:p>
          <w:p>
            <w:pPr>
              <w:pStyle w:val="null3"/>
            </w:pPr>
            <w:r>
              <w:rPr>
                <w:rFonts w:ascii="仿宋_GB2312" w:hAnsi="仿宋_GB2312" w:cs="仿宋_GB2312" w:eastAsia="仿宋_GB2312"/>
              </w:rPr>
              <w:t>主要人员简历表.docx</w:t>
            </w:r>
          </w:p>
        </w:tc>
      </w:tr>
      <w:tr>
        <w:tc>
          <w:tcPr>
            <w:tcW w:type="dxa" w:w="831"/>
            <w:vMerge/>
          </w:tcPr>
          <w:p/>
        </w:tc>
        <w:tc>
          <w:tcPr>
            <w:tcW w:type="dxa" w:w="1661"/>
          </w:tcPr>
          <w:p>
            <w:pPr>
              <w:pStyle w:val="null3"/>
            </w:pPr>
            <w:r>
              <w:rPr>
                <w:rFonts w:ascii="仿宋_GB2312" w:hAnsi="仿宋_GB2312" w:cs="仿宋_GB2312" w:eastAsia="仿宋_GB2312"/>
              </w:rPr>
              <w:t>企业综合实力</w:t>
            </w:r>
          </w:p>
        </w:tc>
        <w:tc>
          <w:tcPr>
            <w:tcW w:type="dxa" w:w="2492"/>
          </w:tcPr>
          <w:p>
            <w:pPr>
              <w:pStyle w:val="null3"/>
            </w:pPr>
            <w:r>
              <w:rPr>
                <w:rFonts w:ascii="仿宋_GB2312" w:hAnsi="仿宋_GB2312" w:cs="仿宋_GB2312" w:eastAsia="仿宋_GB2312"/>
              </w:rPr>
              <w:t>已经取得质量管理体系认证得2分； 已经取得环境管理体系认证得2分； 已经取得职业安全健康管理体系认证得2分； 注：认证体系范围必须包含工程设计，需提供证书及网查截图，不提供不得分；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供应商具有2022年1月至今类似设计业绩，每有1个得2.5分。满分5分。 评审依据：业绩以加盖公章的中标通知书或合同扫描件为准；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1、满足招标文件要求且投标价格最低的投标报价为评标基准价，其价格分为满分。其他投标人的价格分统一按照下列公式计算：投标报价得分=（评标基准价/投标报价）×10 ；2、本项目为专门面向中小企业项目，不再执行价格评审优惠的扶持政策。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详见附件：汉中市政府采购投标人资格承诺函.docx</w:t>
      </w:r>
    </w:p>
    <w:p>
      <w:pPr>
        <w:pStyle w:val="null3"/>
        <w:ind w:firstLine="960"/>
      </w:pPr>
      <w:r>
        <w:rPr>
          <w:rFonts w:ascii="仿宋_GB2312" w:hAnsi="仿宋_GB2312" w:cs="仿宋_GB2312" w:eastAsia="仿宋_GB2312"/>
        </w:rPr>
        <w:t>详见附件：投标保证金.docx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详见附件：项目管理机构组成表.docx</w:t>
      </w:r>
    </w:p>
    <w:p>
      <w:pPr>
        <w:pStyle w:val="null3"/>
        <w:ind w:firstLine="960"/>
      </w:pPr>
      <w:r>
        <w:rPr>
          <w:rFonts w:ascii="仿宋_GB2312" w:hAnsi="仿宋_GB2312" w:cs="仿宋_GB2312" w:eastAsia="仿宋_GB2312"/>
        </w:rPr>
        <w:t>详见附件：主要人员简历表.docx</w:t>
      </w:r>
    </w:p>
    <w:p>
      <w:pPr>
        <w:pStyle w:val="null3"/>
        <w:ind w:firstLine="960"/>
      </w:pPr>
      <w:r>
        <w:rPr>
          <w:rFonts w:ascii="仿宋_GB2312" w:hAnsi="仿宋_GB2312" w:cs="仿宋_GB2312" w:eastAsia="仿宋_GB2312"/>
        </w:rPr>
        <w:t>详见附件：非联合体不分包投标声明.docx</w:t>
      </w:r>
    </w:p>
    <w:p>
      <w:pPr>
        <w:pStyle w:val="null3"/>
        <w:ind w:firstLine="960"/>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