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A6181">
      <w:pPr>
        <w:pStyle w:val="2"/>
        <w:numPr>
          <w:ilvl w:val="2"/>
          <w:numId w:val="0"/>
        </w:numPr>
        <w:spacing w:line="500" w:lineRule="exact"/>
        <w:jc w:val="center"/>
        <w:rPr>
          <w:rFonts w:hint="eastAsia" w:ascii="宋体" w:hAnsi="宋体" w:eastAsia="宋体" w:cs="宋体"/>
          <w:color w:val="auto"/>
          <w:sz w:val="36"/>
          <w:szCs w:val="36"/>
        </w:rPr>
      </w:pPr>
      <w:r>
        <w:rPr>
          <w:rFonts w:hint="eastAsia" w:ascii="宋体" w:hAnsi="宋体" w:eastAsia="宋体" w:cs="宋体"/>
          <w:color w:val="auto"/>
          <w:sz w:val="36"/>
          <w:szCs w:val="36"/>
        </w:rPr>
        <w:t>合同条件及格式（参考）</w:t>
      </w:r>
    </w:p>
    <w:p w14:paraId="34DE74E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（本采购合同为非预留\预留份额专门面向中小企业合同）</w:t>
      </w:r>
    </w:p>
    <w:p w14:paraId="2F71081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p>
    <w:p w14:paraId="246A330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甲方（采购人）：_____________________________________</w:t>
      </w:r>
    </w:p>
    <w:p w14:paraId="0ACCDC5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甲方住所：___________________________________________</w:t>
      </w:r>
    </w:p>
    <w:p w14:paraId="3FFD9A50">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乙方（中标供应商）：_________________________________</w:t>
      </w:r>
    </w:p>
    <w:p w14:paraId="310E13F5">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乙方住所：___________________________________________</w:t>
      </w:r>
    </w:p>
    <w:p w14:paraId="7292D43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rPr>
      </w:pPr>
    </w:p>
    <w:p w14:paraId="3B14054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根据《中华人民共和国政府采购法》及实施条例、《中华人民共和国民法典》和〈</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勉县污水处理设施设备更新项目初步设计</w:t>
      </w:r>
      <w:r>
        <w:rPr>
          <w:rFonts w:hint="eastAsia" w:ascii="宋体" w:hAnsi="宋体" w:cs="宋体"/>
          <w:color w:val="auto"/>
          <w:sz w:val="24"/>
          <w:szCs w:val="24"/>
          <w:u w:val="single"/>
          <w:lang w:val="en-US" w:eastAsia="zh-CN"/>
        </w:rPr>
        <w:t xml:space="preserve">  </w:t>
      </w:r>
      <w:r>
        <w:rPr>
          <w:rFonts w:hint="eastAsia" w:ascii="宋体" w:hAnsi="宋体" w:cs="宋体"/>
          <w:b w:val="0"/>
          <w:bCs/>
          <w:color w:val="auto"/>
          <w:sz w:val="24"/>
          <w:szCs w:val="24"/>
          <w:u w:val="none"/>
          <w:lang w:val="en-US" w:eastAsia="zh-CN"/>
        </w:rPr>
        <w:t>项目</w:t>
      </w:r>
      <w:r>
        <w:rPr>
          <w:rFonts w:hint="eastAsia" w:ascii="宋体" w:hAnsi="宋体" w:eastAsia="宋体" w:cs="宋体"/>
          <w:color w:val="auto"/>
          <w:sz w:val="24"/>
          <w:szCs w:val="24"/>
        </w:rPr>
        <w:t>〉项目编号：</w:t>
      </w:r>
      <w:r>
        <w:rPr>
          <w:rFonts w:hint="eastAsia" w:ascii="宋体" w:hAnsi="宋体" w:cs="宋体"/>
          <w:color w:val="auto"/>
          <w:sz w:val="24"/>
          <w:szCs w:val="24"/>
          <w:lang w:val="en-US" w:eastAsia="zh-CN"/>
        </w:rPr>
        <w:t>S</w:t>
      </w:r>
      <w:r>
        <w:rPr>
          <w:rFonts w:hint="eastAsia" w:ascii="宋体" w:hAnsi="宋体" w:eastAsia="宋体" w:cs="宋体"/>
          <w:color w:val="auto"/>
          <w:sz w:val="24"/>
          <w:szCs w:val="24"/>
          <w:u w:val="single"/>
          <w:lang w:val="en-US" w:eastAsia="zh-CN"/>
        </w:rPr>
        <w:t>XWB-ZFCG-MX-[2025</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val="en-US" w:eastAsia="zh-CN"/>
        </w:rPr>
        <w:t>040</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文件、响应文件等有关规定，为确保甲方采购项目的顺利实施，甲、乙双方在平等自愿原则下签订本合同，并共同遵守如下条款：</w:t>
      </w:r>
    </w:p>
    <w:p w14:paraId="357DC2B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0" w:name="_Toc27942"/>
      <w:r>
        <w:rPr>
          <w:rFonts w:hint="eastAsia" w:ascii="宋体" w:hAnsi="宋体" w:eastAsia="宋体" w:cs="宋体"/>
          <w:color w:val="auto"/>
          <w:sz w:val="24"/>
          <w:szCs w:val="24"/>
        </w:rPr>
        <w:t>第一条  项目基本情况</w:t>
      </w:r>
      <w:bookmarkEnd w:id="0"/>
    </w:p>
    <w:p w14:paraId="5C8A590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1．采购标的：勉县污水处理设施设备更新项目初步设计</w:t>
      </w:r>
    </w:p>
    <w:p w14:paraId="55C90D0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2．数量：</w:t>
      </w:r>
      <w:r>
        <w:rPr>
          <w:rFonts w:hint="eastAsia" w:ascii="宋体" w:hAnsi="宋体" w:cs="宋体"/>
          <w:color w:val="auto"/>
          <w:sz w:val="24"/>
          <w:szCs w:val="24"/>
          <w:lang w:val="en-US" w:eastAsia="zh-CN"/>
        </w:rPr>
        <w:t>1项</w:t>
      </w:r>
    </w:p>
    <w:p w14:paraId="2EA4B38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 w:name="_Toc17197"/>
      <w:r>
        <w:rPr>
          <w:rFonts w:hint="eastAsia" w:ascii="宋体" w:hAnsi="宋体" w:eastAsia="宋体" w:cs="宋体"/>
          <w:color w:val="auto"/>
          <w:sz w:val="24"/>
          <w:szCs w:val="24"/>
        </w:rPr>
        <w:t>第二条  履约期限、地点及方式</w:t>
      </w:r>
      <w:bookmarkEnd w:id="1"/>
    </w:p>
    <w:p w14:paraId="445EB8B5">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1．履约期限：自合同生效之日起30日历天内完成全部设计成果并通过招标人组织的评审；其中：初步设计15天，施工图设计15天。</w:t>
      </w:r>
    </w:p>
    <w:p w14:paraId="553F19D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2．履约地点：</w:t>
      </w:r>
      <w:r>
        <w:rPr>
          <w:rFonts w:hint="eastAsia" w:ascii="宋体" w:hAnsi="宋体" w:cs="宋体"/>
          <w:color w:val="auto"/>
          <w:sz w:val="24"/>
          <w:szCs w:val="24"/>
          <w:lang w:val="en-US" w:eastAsia="zh-CN"/>
        </w:rPr>
        <w:t>勉县。</w:t>
      </w:r>
    </w:p>
    <w:p w14:paraId="581F5C5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3．履约方式：</w:t>
      </w:r>
      <w:r>
        <w:rPr>
          <w:rFonts w:hint="eastAsia" w:ascii="宋体" w:hAnsi="宋体" w:cs="宋体"/>
          <w:color w:val="auto"/>
          <w:sz w:val="24"/>
          <w:szCs w:val="24"/>
          <w:lang w:val="en-US" w:eastAsia="zh-CN"/>
        </w:rPr>
        <w:t>自主完成。</w:t>
      </w:r>
    </w:p>
    <w:p w14:paraId="6153DCD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2" w:name="_Toc12932"/>
      <w:r>
        <w:rPr>
          <w:rFonts w:hint="eastAsia" w:ascii="宋体" w:hAnsi="宋体" w:eastAsia="宋体" w:cs="宋体"/>
          <w:color w:val="auto"/>
          <w:sz w:val="24"/>
          <w:szCs w:val="24"/>
        </w:rPr>
        <w:t>第三条  质量标准</w:t>
      </w:r>
      <w:bookmarkEnd w:id="2"/>
    </w:p>
    <w:p w14:paraId="601A98A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整个项目应符合国家有关行业规范和标准</w:t>
      </w:r>
      <w:r>
        <w:rPr>
          <w:rFonts w:hint="eastAsia" w:ascii="宋体" w:hAnsi="宋体" w:cs="宋体"/>
          <w:color w:val="auto"/>
          <w:sz w:val="24"/>
          <w:szCs w:val="24"/>
          <w:lang w:eastAsia="zh-CN"/>
        </w:rPr>
        <w:t>。</w:t>
      </w:r>
    </w:p>
    <w:p w14:paraId="298CDAE9">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3" w:name="_Toc1767"/>
      <w:r>
        <w:rPr>
          <w:rFonts w:hint="eastAsia" w:ascii="宋体" w:hAnsi="宋体" w:eastAsia="宋体" w:cs="宋体"/>
          <w:color w:val="auto"/>
          <w:sz w:val="24"/>
          <w:szCs w:val="24"/>
        </w:rPr>
        <w:t>第四条  合同价款及支付方式</w:t>
      </w:r>
      <w:bookmarkEnd w:id="3"/>
    </w:p>
    <w:p w14:paraId="271519B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1．合同价款包括：</w:t>
      </w:r>
      <w:r>
        <w:rPr>
          <w:rFonts w:hint="eastAsia" w:ascii="宋体" w:hAnsi="宋体" w:eastAsia="宋体" w:cs="宋体"/>
          <w:color w:val="auto"/>
          <w:sz w:val="24"/>
          <w:szCs w:val="24"/>
          <w:lang w:val="en-US" w:eastAsia="zh-CN"/>
        </w:rPr>
        <w:t>完成该项工作所需的人工、材料、机械、管理、维护、保险、利润、税金、政策性文件规定及合同包含的所有风险、责任等一切费用，即为合同价一次性包干。</w:t>
      </w:r>
    </w:p>
    <w:p w14:paraId="1A81671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cs="宋体"/>
          <w:color w:val="auto"/>
          <w:sz w:val="24"/>
          <w:szCs w:val="24"/>
          <w:lang w:eastAsia="zh-CN"/>
        </w:rPr>
      </w:pPr>
      <w:r>
        <w:rPr>
          <w:rFonts w:hint="eastAsia" w:ascii="宋体" w:hAnsi="宋体" w:eastAsia="宋体" w:cs="宋体"/>
          <w:color w:val="auto"/>
          <w:sz w:val="24"/>
          <w:szCs w:val="24"/>
        </w:rPr>
        <w:t>2．支付方式：初步设计完成并通过评审，达到付款条件起10日内，支付合同总金额的45.00%。施工图设计完成并通过审查，达到付款条件起10日内，支付合同总金额的45.00%</w:t>
      </w:r>
      <w:r>
        <w:rPr>
          <w:rFonts w:hint="eastAsia" w:ascii="宋体" w:hAnsi="宋体" w:cs="宋体"/>
          <w:color w:val="auto"/>
          <w:sz w:val="24"/>
          <w:szCs w:val="24"/>
          <w:lang w:eastAsia="zh-CN"/>
        </w:rPr>
        <w:t>；工程竣工，审计结束，达到付款条件起10日内，支付合同总金额的 10.00%。</w:t>
      </w:r>
    </w:p>
    <w:p w14:paraId="1D56A8A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3．结算方式：银行转账。</w:t>
      </w:r>
    </w:p>
    <w:p w14:paraId="70235F0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4．结算单位：由甲方负责结算，乙方须向甲方出具合法有效的完税发票，甲方进行支付结算。</w:t>
      </w:r>
    </w:p>
    <w:p w14:paraId="15B5B36E">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4" w:name="_Toc32380"/>
      <w:r>
        <w:rPr>
          <w:rFonts w:hint="eastAsia" w:ascii="宋体" w:hAnsi="宋体" w:eastAsia="宋体" w:cs="宋体"/>
          <w:color w:val="auto"/>
          <w:sz w:val="24"/>
          <w:szCs w:val="24"/>
        </w:rPr>
        <w:t>第五条  验收标准及条件</w:t>
      </w:r>
      <w:bookmarkEnd w:id="4"/>
    </w:p>
    <w:p w14:paraId="6B22CFA7">
      <w:pPr>
        <w:pStyle w:val="7"/>
        <w:keepNext w:val="0"/>
        <w:keepLines w:val="0"/>
        <w:pageBreakBefore w:val="0"/>
        <w:widowControl w:val="0"/>
        <w:kinsoku/>
        <w:wordWrap/>
        <w:overflowPunct/>
        <w:topLinePunct w:val="0"/>
        <w:autoSpaceDE/>
        <w:autoSpaceDN/>
        <w:bidi w:val="0"/>
        <w:adjustRightInd/>
        <w:snapToGrid/>
        <w:spacing w:line="420" w:lineRule="exact"/>
        <w:ind w:left="479" w:leftChars="228"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1．标准：国家现行《建筑工程设计文件编制深度规定》及本项目《设计任务书》。 </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方法：</w:t>
      </w:r>
      <w:r>
        <w:rPr>
          <w:rFonts w:hint="default" w:ascii="Calibri" w:hAnsi="Calibri" w:eastAsia="宋体" w:cs="Calibri"/>
          <w:color w:val="auto"/>
          <w:sz w:val="20"/>
          <w:szCs w:val="20"/>
        </w:rPr>
        <w:t>①</w:t>
      </w:r>
      <w:r>
        <w:rPr>
          <w:rFonts w:hint="eastAsia" w:ascii="宋体" w:hAnsi="宋体" w:eastAsia="宋体" w:cs="宋体"/>
          <w:color w:val="auto"/>
          <w:sz w:val="24"/>
          <w:szCs w:val="24"/>
        </w:rPr>
        <w:t>设计人提交纸质成果6套；</w:t>
      </w:r>
    </w:p>
    <w:p w14:paraId="6A09A038">
      <w:pPr>
        <w:pStyle w:val="7"/>
        <w:keepNext w:val="0"/>
        <w:keepLines w:val="0"/>
        <w:pageBreakBefore w:val="0"/>
        <w:widowControl w:val="0"/>
        <w:kinsoku/>
        <w:wordWrap/>
        <w:overflowPunct/>
        <w:topLinePunct w:val="0"/>
        <w:autoSpaceDE/>
        <w:autoSpaceDN/>
        <w:bidi w:val="0"/>
        <w:adjustRightInd/>
        <w:snapToGrid/>
        <w:spacing w:line="420" w:lineRule="exact"/>
        <w:ind w:left="479" w:leftChars="228" w:firstLine="0" w:firstLineChars="0"/>
        <w:textAlignment w:val="auto"/>
        <w:rPr>
          <w:rFonts w:hint="eastAsia" w:ascii="宋体" w:hAnsi="宋体" w:cs="宋体"/>
          <w:color w:val="auto"/>
          <w:sz w:val="24"/>
          <w:szCs w:val="24"/>
          <w:lang w:eastAsia="zh-CN"/>
        </w:rPr>
      </w:pPr>
      <w:r>
        <w:rPr>
          <w:rFonts w:hint="default" w:ascii="Calibri" w:hAnsi="Calibri" w:eastAsia="宋体" w:cs="Calibri"/>
          <w:color w:val="auto"/>
          <w:sz w:val="20"/>
          <w:szCs w:val="20"/>
        </w:rPr>
        <w:t>②</w:t>
      </w:r>
      <w:r>
        <w:rPr>
          <w:rFonts w:hint="eastAsia" w:ascii="宋体" w:hAnsi="宋体" w:eastAsia="宋体" w:cs="宋体"/>
          <w:color w:val="auto"/>
          <w:sz w:val="24"/>
          <w:szCs w:val="24"/>
        </w:rPr>
        <w:t>初设招标人组织3人以上专家评审</w:t>
      </w:r>
      <w:r>
        <w:rPr>
          <w:rFonts w:hint="eastAsia" w:ascii="宋体" w:hAnsi="宋体" w:cs="宋体"/>
          <w:color w:val="auto"/>
          <w:sz w:val="24"/>
          <w:szCs w:val="24"/>
          <w:lang w:eastAsia="zh-CN"/>
        </w:rPr>
        <w:t>；</w:t>
      </w:r>
    </w:p>
    <w:p w14:paraId="7BA8D1A9">
      <w:pPr>
        <w:pStyle w:val="7"/>
        <w:keepNext w:val="0"/>
        <w:keepLines w:val="0"/>
        <w:pageBreakBefore w:val="0"/>
        <w:widowControl w:val="0"/>
        <w:kinsoku/>
        <w:wordWrap/>
        <w:overflowPunct/>
        <w:topLinePunct w:val="0"/>
        <w:autoSpaceDE/>
        <w:autoSpaceDN/>
        <w:bidi w:val="0"/>
        <w:adjustRightInd/>
        <w:snapToGrid/>
        <w:spacing w:line="420" w:lineRule="exact"/>
        <w:ind w:left="479" w:leftChars="228" w:firstLine="0" w:firstLineChars="0"/>
        <w:textAlignment w:val="auto"/>
        <w:rPr>
          <w:rFonts w:hint="eastAsia" w:ascii="宋体" w:hAnsi="宋体" w:eastAsia="宋体" w:cs="宋体"/>
          <w:color w:val="auto"/>
          <w:sz w:val="24"/>
          <w:szCs w:val="24"/>
        </w:rPr>
      </w:pPr>
      <w:r>
        <w:rPr>
          <w:rFonts w:hint="default" w:ascii="Calibri" w:hAnsi="Calibri" w:eastAsia="宋体" w:cs="Calibri"/>
          <w:color w:val="auto"/>
          <w:sz w:val="20"/>
          <w:szCs w:val="20"/>
        </w:rPr>
        <w:t>③</w:t>
      </w:r>
      <w:r>
        <w:rPr>
          <w:rFonts w:hint="eastAsia" w:ascii="宋体" w:hAnsi="宋体" w:eastAsia="宋体" w:cs="宋体"/>
          <w:color w:val="auto"/>
          <w:sz w:val="20"/>
          <w:szCs w:val="20"/>
        </w:rPr>
        <w:t xml:space="preserve"> </w:t>
      </w:r>
      <w:r>
        <w:rPr>
          <w:rFonts w:hint="eastAsia" w:ascii="宋体" w:hAnsi="宋体" w:eastAsia="宋体" w:cs="宋体"/>
          <w:color w:val="auto"/>
          <w:sz w:val="24"/>
          <w:szCs w:val="24"/>
        </w:rPr>
        <w:t>评审通过后拿到初步设计批复，视为该阶段验收合格。</w:t>
      </w:r>
    </w:p>
    <w:p w14:paraId="022FFEA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3．验收依据：</w:t>
      </w:r>
    </w:p>
    <w:p w14:paraId="54815C9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文件、投标文件、澄清表（函）；</w:t>
      </w:r>
    </w:p>
    <w:p w14:paraId="4574366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（2）本合同及附件文本；</w:t>
      </w:r>
    </w:p>
    <w:p w14:paraId="52B4278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（3）合同签订时国家及行业现行的标准和技术规范。</w:t>
      </w:r>
    </w:p>
    <w:p w14:paraId="72E4A9C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4．中标供应商应向采购人提交项目实施过程中的所有资料，以便采购人日后管理和维护。</w:t>
      </w:r>
    </w:p>
    <w:p w14:paraId="12A534ED">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5" w:name="_Toc26036"/>
      <w:r>
        <w:rPr>
          <w:rFonts w:hint="eastAsia" w:ascii="宋体" w:hAnsi="宋体" w:eastAsia="宋体" w:cs="宋体"/>
          <w:color w:val="auto"/>
          <w:sz w:val="24"/>
          <w:szCs w:val="24"/>
        </w:rPr>
        <w:t>第六条  知识产权</w:t>
      </w:r>
      <w:bookmarkEnd w:id="5"/>
    </w:p>
    <w:p w14:paraId="4D18587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bookmarkStart w:id="6" w:name="_Toc405"/>
      <w:r>
        <w:rPr>
          <w:rFonts w:hint="eastAsia" w:ascii="宋体" w:hAnsi="宋体" w:eastAsia="宋体" w:cs="宋体"/>
          <w:color w:val="auto"/>
          <w:sz w:val="24"/>
          <w:szCs w:val="24"/>
        </w:rPr>
        <w:t xml:space="preserve">1.本项目设计成果的著作权归招标人所有； </w:t>
      </w:r>
    </w:p>
    <w:p w14:paraId="713C58C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2.设计人享有署名权，未经招标人书面同意不得向第三方披露、转让或用于其他项目； </w:t>
      </w:r>
    </w:p>
    <w:p w14:paraId="76C039C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3.设计人保证成果不侵犯第三方知识产权，如发生侵权由设计人承担全部法律责任并赔偿损失。</w:t>
      </w:r>
    </w:p>
    <w:p w14:paraId="70E0919B">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第七条  无产权瑕疵条款（若有）</w:t>
      </w:r>
      <w:bookmarkEnd w:id="6"/>
    </w:p>
    <w:p w14:paraId="315F02B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rPr>
        <w:t>的所有权完全属于乙方且无任何抵押、查封等产权瑕疵。如有产权瑕疵的，视为乙方违约。乙方应负担由此而产生的一切损失。</w:t>
      </w:r>
    </w:p>
    <w:p w14:paraId="075BC8C7">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7" w:name="_Toc18186"/>
      <w:r>
        <w:rPr>
          <w:rFonts w:hint="eastAsia" w:ascii="宋体" w:hAnsi="宋体" w:eastAsia="宋体" w:cs="宋体"/>
          <w:color w:val="auto"/>
          <w:sz w:val="24"/>
          <w:szCs w:val="24"/>
        </w:rPr>
        <w:t>第八条  履约保证金（若有）</w:t>
      </w:r>
      <w:bookmarkEnd w:id="7"/>
    </w:p>
    <w:p w14:paraId="160B36CB">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1．乙方合同签订后5个工作日内，向</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提交</w:t>
      </w:r>
      <w:r>
        <w:rPr>
          <w:rFonts w:hint="eastAsia" w:ascii="宋体" w:hAnsi="宋体" w:eastAsia="宋体" w:cs="宋体"/>
          <w:b w:val="0"/>
          <w:bCs/>
          <w:color w:val="auto"/>
          <w:sz w:val="24"/>
          <w:szCs w:val="24"/>
          <w:u w:val="none"/>
          <w:lang w:val="en-US" w:eastAsia="zh-CN"/>
        </w:rPr>
        <w:t>合同金额的</w:t>
      </w:r>
      <w:r>
        <w:rPr>
          <w:rFonts w:hint="eastAsia" w:ascii="宋体" w:hAnsi="宋体" w:eastAsia="宋体" w:cs="宋体"/>
          <w:b w:val="0"/>
          <w:bCs/>
          <w:color w:val="auto"/>
          <w:sz w:val="24"/>
          <w:szCs w:val="24"/>
          <w:u w:val="single"/>
          <w:lang w:val="en-US" w:eastAsia="zh-CN"/>
        </w:rPr>
        <w:t xml:space="preserve"> </w:t>
      </w:r>
      <w:r>
        <w:rPr>
          <w:rFonts w:hint="eastAsia" w:ascii="宋体" w:hAnsi="宋体" w:cs="宋体"/>
          <w:b w:val="0"/>
          <w:bCs/>
          <w:color w:val="auto"/>
          <w:sz w:val="24"/>
          <w:szCs w:val="24"/>
          <w:u w:val="single"/>
          <w:lang w:val="en-US" w:eastAsia="zh-CN"/>
        </w:rPr>
        <w:t>10</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%作为</w:t>
      </w:r>
      <w:r>
        <w:rPr>
          <w:rFonts w:hint="eastAsia" w:ascii="宋体" w:hAnsi="宋体" w:eastAsia="宋体" w:cs="宋体"/>
          <w:color w:val="auto"/>
          <w:sz w:val="24"/>
          <w:szCs w:val="24"/>
        </w:rPr>
        <w:t>履约保证金。</w:t>
      </w:r>
    </w:p>
    <w:p w14:paraId="7F909EB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2．履约保证金的有效期为乙方承诺的</w:t>
      </w:r>
      <w:r>
        <w:rPr>
          <w:rFonts w:hint="eastAsia" w:ascii="宋体" w:hAnsi="宋体" w:eastAsia="宋体" w:cs="宋体"/>
          <w:color w:val="auto"/>
          <w:sz w:val="24"/>
          <w:szCs w:val="24"/>
          <w:lang w:val="en-US" w:eastAsia="zh-CN"/>
        </w:rPr>
        <w:t>交付期</w:t>
      </w:r>
      <w:r>
        <w:rPr>
          <w:rFonts w:hint="eastAsia" w:ascii="宋体" w:hAnsi="宋体" w:eastAsia="宋体" w:cs="宋体"/>
          <w:color w:val="auto"/>
          <w:sz w:val="24"/>
          <w:szCs w:val="24"/>
        </w:rPr>
        <w:t>。</w:t>
      </w:r>
    </w:p>
    <w:p w14:paraId="3DFABF2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3．履约保证金作为违约金的</w:t>
      </w:r>
      <w:r>
        <w:rPr>
          <w:rFonts w:hint="eastAsia" w:ascii="宋体" w:hAnsi="宋体" w:eastAsia="宋体" w:cs="宋体"/>
          <w:color w:val="auto"/>
          <w:sz w:val="24"/>
          <w:szCs w:val="24"/>
          <w:lang w:eastAsia="zh-CN"/>
        </w:rPr>
        <w:t>一部分</w:t>
      </w:r>
      <w:r>
        <w:rPr>
          <w:rFonts w:hint="eastAsia" w:ascii="宋体" w:hAnsi="宋体" w:eastAsia="宋体" w:cs="宋体"/>
          <w:color w:val="auto"/>
          <w:sz w:val="24"/>
          <w:szCs w:val="24"/>
        </w:rPr>
        <w:t>用于补偿甲方因乙方不能履行合同义务而蒙受的损失。</w:t>
      </w:r>
    </w:p>
    <w:p w14:paraId="71062E8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4．提交最终设计成果后 10日内无息返还。</w:t>
      </w:r>
    </w:p>
    <w:p w14:paraId="2CD2842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5．乙方可以履约担保函的形式交纳履约保证金。</w:t>
      </w:r>
    </w:p>
    <w:p w14:paraId="0EDA1610">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8" w:name="_Toc16974"/>
      <w:r>
        <w:rPr>
          <w:rFonts w:hint="eastAsia" w:ascii="宋体" w:hAnsi="宋体" w:eastAsia="宋体" w:cs="宋体"/>
          <w:color w:val="auto"/>
          <w:sz w:val="24"/>
          <w:szCs w:val="24"/>
        </w:rPr>
        <w:t>第九条  双方的权利和义务</w:t>
      </w:r>
      <w:bookmarkEnd w:id="8"/>
      <w:bookmarkStart w:id="15" w:name="_GoBack"/>
      <w:bookmarkEnd w:id="15"/>
    </w:p>
    <w:p w14:paraId="13B44BB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（一）甲方的权利和义务</w:t>
      </w:r>
    </w:p>
    <w:p w14:paraId="76D6F74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1．甲方有权对合同规定范围内乙方的</w:t>
      </w:r>
      <w:r>
        <w:rPr>
          <w:rFonts w:hint="eastAsia" w:ascii="宋体" w:hAnsi="宋体" w:eastAsia="宋体" w:cs="宋体"/>
          <w:color w:val="auto"/>
          <w:sz w:val="24"/>
          <w:szCs w:val="24"/>
          <w:lang w:val="en-US" w:eastAsia="zh-CN"/>
        </w:rPr>
        <w:t>施工</w:t>
      </w:r>
      <w:r>
        <w:rPr>
          <w:rFonts w:hint="eastAsia" w:ascii="宋体" w:hAnsi="宋体" w:eastAsia="宋体" w:cs="宋体"/>
          <w:color w:val="auto"/>
          <w:sz w:val="24"/>
          <w:szCs w:val="24"/>
        </w:rPr>
        <w:t>行为进行监督和检查，拥有监管权。有权定期核对乙方所配备的人员数量。对甲方认为不合理的部分有权下达整改通知书，并要求乙方限期整改。</w:t>
      </w:r>
    </w:p>
    <w:p w14:paraId="73D18DD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2．甲方有权依据双方签订的考评办法对乙方</w:t>
      </w:r>
      <w:r>
        <w:rPr>
          <w:rFonts w:hint="eastAsia" w:ascii="宋体" w:hAnsi="宋体" w:eastAsia="宋体" w:cs="宋体"/>
          <w:color w:val="auto"/>
          <w:sz w:val="24"/>
          <w:szCs w:val="24"/>
          <w:lang w:val="en-US" w:eastAsia="zh-CN"/>
        </w:rPr>
        <w:t>完成的项目</w:t>
      </w:r>
      <w:r>
        <w:rPr>
          <w:rFonts w:hint="eastAsia" w:ascii="宋体" w:hAnsi="宋体" w:eastAsia="宋体" w:cs="宋体"/>
          <w:color w:val="auto"/>
          <w:sz w:val="24"/>
          <w:szCs w:val="24"/>
        </w:rPr>
        <w:t>进行定期考评。</w:t>
      </w:r>
    </w:p>
    <w:p w14:paraId="3252938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3．负责检查监督乙方管理工作的实施及制度的执行情况。</w:t>
      </w:r>
    </w:p>
    <w:p w14:paraId="0209AD8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4．根据本合同规定，按时向乙方支付应付</w:t>
      </w:r>
      <w:r>
        <w:rPr>
          <w:rFonts w:hint="eastAsia" w:ascii="宋体" w:hAnsi="宋体" w:eastAsia="宋体" w:cs="宋体"/>
          <w:color w:val="auto"/>
          <w:sz w:val="24"/>
          <w:szCs w:val="24"/>
          <w:lang w:val="en-US" w:eastAsia="zh-CN"/>
        </w:rPr>
        <w:t>合同价款</w:t>
      </w:r>
      <w:r>
        <w:rPr>
          <w:rFonts w:hint="eastAsia" w:ascii="宋体" w:hAnsi="宋体" w:eastAsia="宋体" w:cs="宋体"/>
          <w:color w:val="auto"/>
          <w:sz w:val="24"/>
          <w:szCs w:val="24"/>
        </w:rPr>
        <w:t>。</w:t>
      </w:r>
    </w:p>
    <w:p w14:paraId="1D0EA512">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5．验收应在甲方和乙方双方共同参加下进行。甲方组成验收小组按国家有关规定、规范进行验收，验收时将会邀请相关的专业人员或机构参与验收。</w:t>
      </w:r>
    </w:p>
    <w:p w14:paraId="1768F78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6．国家法律、法规所规定由甲方承担的</w:t>
      </w:r>
      <w:r>
        <w:rPr>
          <w:rFonts w:hint="eastAsia" w:ascii="宋体" w:hAnsi="宋体" w:eastAsia="宋体" w:cs="宋体"/>
          <w:color w:val="auto"/>
          <w:sz w:val="24"/>
          <w:szCs w:val="24"/>
          <w:lang w:eastAsia="zh-CN"/>
        </w:rPr>
        <w:t>其他责任</w:t>
      </w:r>
      <w:r>
        <w:rPr>
          <w:rFonts w:hint="eastAsia" w:ascii="宋体" w:hAnsi="宋体" w:eastAsia="宋体" w:cs="宋体"/>
          <w:color w:val="auto"/>
          <w:sz w:val="24"/>
          <w:szCs w:val="24"/>
        </w:rPr>
        <w:t>。</w:t>
      </w:r>
    </w:p>
    <w:p w14:paraId="1D21C25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454CEE15">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乙方根据技术规范、质量标准和有关要求，积极主动保质保量地完成工作</w:t>
      </w:r>
      <w:r>
        <w:rPr>
          <w:rFonts w:hint="eastAsia" w:ascii="宋体" w:hAnsi="宋体" w:eastAsia="宋体" w:cs="宋体"/>
          <w:color w:val="auto"/>
          <w:sz w:val="24"/>
          <w:szCs w:val="24"/>
        </w:rPr>
        <w:t>。</w:t>
      </w:r>
    </w:p>
    <w:p w14:paraId="01E196C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2．根据本合同的规定向甲方收取</w:t>
      </w:r>
      <w:r>
        <w:rPr>
          <w:rFonts w:hint="eastAsia" w:ascii="宋体" w:hAnsi="宋体" w:eastAsia="宋体" w:cs="宋体"/>
          <w:color w:val="auto"/>
          <w:sz w:val="24"/>
          <w:szCs w:val="24"/>
          <w:lang w:val="en-US" w:eastAsia="zh-CN"/>
        </w:rPr>
        <w:t>设备</w:t>
      </w:r>
      <w:r>
        <w:rPr>
          <w:rFonts w:hint="eastAsia" w:ascii="宋体" w:hAnsi="宋体" w:eastAsia="宋体" w:cs="宋体"/>
          <w:color w:val="auto"/>
          <w:sz w:val="24"/>
          <w:szCs w:val="24"/>
        </w:rPr>
        <w:t>费用，并有权在本项目管理范围内管理及合理使用。</w:t>
      </w:r>
    </w:p>
    <w:p w14:paraId="4C60347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w:t>
      </w:r>
      <w:r>
        <w:rPr>
          <w:rFonts w:hint="eastAsia" w:ascii="宋体" w:hAnsi="宋体" w:eastAsia="宋体" w:cs="宋体"/>
          <w:color w:val="auto"/>
          <w:sz w:val="24"/>
          <w:szCs w:val="24"/>
          <w:lang w:val="en-US" w:eastAsia="zh-CN"/>
        </w:rPr>
        <w:t>施工</w:t>
      </w:r>
      <w:r>
        <w:rPr>
          <w:rFonts w:hint="eastAsia" w:ascii="宋体" w:hAnsi="宋体" w:eastAsia="宋体" w:cs="宋体"/>
          <w:color w:val="auto"/>
          <w:sz w:val="24"/>
          <w:szCs w:val="24"/>
        </w:rPr>
        <w:t>范围内有关重大事项，及时配合处理</w:t>
      </w:r>
      <w:r>
        <w:rPr>
          <w:rFonts w:hint="eastAsia" w:ascii="宋体" w:hAnsi="宋体" w:eastAsia="宋体" w:cs="宋体"/>
          <w:color w:val="auto"/>
          <w:sz w:val="24"/>
          <w:szCs w:val="24"/>
          <w:lang w:val="en-US" w:eastAsia="zh-CN"/>
        </w:rPr>
        <w:t>解决</w:t>
      </w:r>
      <w:r>
        <w:rPr>
          <w:rFonts w:hint="eastAsia" w:ascii="宋体" w:hAnsi="宋体" w:eastAsia="宋体" w:cs="宋体"/>
          <w:color w:val="auto"/>
          <w:sz w:val="24"/>
          <w:szCs w:val="24"/>
        </w:rPr>
        <w:t>。</w:t>
      </w:r>
    </w:p>
    <w:p w14:paraId="26DC147F">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4．接受项目行业管理部门及政府有关部门的指导，接受甲方的监督。</w:t>
      </w:r>
    </w:p>
    <w:p w14:paraId="37B8DBF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5．国家法律、法规所规定由乙方承担的</w:t>
      </w:r>
      <w:r>
        <w:rPr>
          <w:rFonts w:hint="eastAsia" w:ascii="宋体" w:hAnsi="宋体" w:eastAsia="宋体" w:cs="宋体"/>
          <w:color w:val="auto"/>
          <w:sz w:val="24"/>
          <w:szCs w:val="24"/>
          <w:lang w:eastAsia="zh-CN"/>
        </w:rPr>
        <w:t>其他</w:t>
      </w:r>
      <w:r>
        <w:rPr>
          <w:rFonts w:hint="eastAsia" w:ascii="宋体" w:hAnsi="宋体" w:eastAsia="宋体" w:cs="宋体"/>
          <w:color w:val="auto"/>
          <w:sz w:val="24"/>
          <w:szCs w:val="24"/>
        </w:rPr>
        <w:t>责任。</w:t>
      </w:r>
    </w:p>
    <w:p w14:paraId="2098FFC8">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9" w:name="_Toc26819"/>
      <w:r>
        <w:rPr>
          <w:rFonts w:hint="eastAsia" w:ascii="宋体" w:hAnsi="宋体" w:eastAsia="宋体" w:cs="宋体"/>
          <w:color w:val="auto"/>
          <w:sz w:val="24"/>
          <w:szCs w:val="24"/>
        </w:rPr>
        <w:t>第十条  违约责任</w:t>
      </w:r>
      <w:bookmarkEnd w:id="9"/>
    </w:p>
    <w:p w14:paraId="1F00985F">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1．甲乙双方必须遵守本合同并执行合同中的各项规定，保证本合同的正常履行。</w:t>
      </w:r>
    </w:p>
    <w:p w14:paraId="1064E23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2．如因乙方工作人员在履行职务过程中</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rPr>
        <w:t>疏忽、失职、过错等故意或者过失原因给甲方造成损失或侵害，包括但不限于甲方本身的财产损失、由此而导致的甲方对任何第三方的法律责任等，乙方对此均应承担全部的赔偿责任。</w:t>
      </w:r>
    </w:p>
    <w:p w14:paraId="1C6BBE7E">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0" w:name="_Toc31506"/>
      <w:r>
        <w:rPr>
          <w:rFonts w:hint="eastAsia" w:ascii="宋体" w:hAnsi="宋体" w:eastAsia="宋体" w:cs="宋体"/>
          <w:color w:val="auto"/>
          <w:sz w:val="24"/>
          <w:szCs w:val="24"/>
        </w:rPr>
        <w:t>第十一条  不可抗力事件处理</w:t>
      </w:r>
      <w:bookmarkEnd w:id="10"/>
    </w:p>
    <w:p w14:paraId="55E12081">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1．在合同有效期内，任何一方因不可抗力事件导致不能履行合同，则合同履行期可延长，其延长期与不可抗力影响期相同。</w:t>
      </w:r>
    </w:p>
    <w:p w14:paraId="7EEE6B7C">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2．不可抗力事件发生后，应立即通知对方，并寄送有关权威机构出具的证明。</w:t>
      </w:r>
    </w:p>
    <w:p w14:paraId="7CAD682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3．不可抗力事件延续15个日历日以上，双方应通过友好协商，确定是否继续履行合同。</w:t>
      </w:r>
    </w:p>
    <w:p w14:paraId="6A4157C5">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1" w:name="_Toc1997"/>
      <w:r>
        <w:rPr>
          <w:rFonts w:hint="eastAsia" w:ascii="宋体" w:hAnsi="宋体" w:eastAsia="宋体" w:cs="宋体"/>
          <w:color w:val="auto"/>
          <w:sz w:val="24"/>
          <w:szCs w:val="24"/>
        </w:rPr>
        <w:t>第十二条  合同的变更和终止</w:t>
      </w:r>
      <w:bookmarkEnd w:id="11"/>
    </w:p>
    <w:p w14:paraId="2D4692DD">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除《中华人民共和国政府采购法》</w:t>
      </w:r>
      <w:r>
        <w:rPr>
          <w:rFonts w:hint="eastAsia" w:ascii="宋体" w:hAnsi="宋体" w:eastAsia="宋体" w:cs="宋体"/>
          <w:color w:val="auto"/>
          <w:sz w:val="24"/>
          <w:szCs w:val="24"/>
          <w:lang w:eastAsia="zh-CN"/>
        </w:rPr>
        <w:t>第四十九条</w:t>
      </w:r>
      <w:r>
        <w:rPr>
          <w:rFonts w:hint="eastAsia" w:ascii="宋体" w:hAnsi="宋体" w:eastAsia="宋体" w:cs="宋体"/>
          <w:color w:val="auto"/>
          <w:sz w:val="24"/>
          <w:szCs w:val="24"/>
        </w:rPr>
        <w:t>、第50条第二款规定的情形外，本合同一经签订，甲乙双方不得擅自变更、中止或终止合同。</w:t>
      </w:r>
    </w:p>
    <w:p w14:paraId="360F620F">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2" w:name="_Toc22677"/>
      <w:r>
        <w:rPr>
          <w:rFonts w:hint="eastAsia" w:ascii="宋体" w:hAnsi="宋体" w:eastAsia="宋体" w:cs="宋体"/>
          <w:color w:val="auto"/>
          <w:sz w:val="24"/>
          <w:szCs w:val="24"/>
        </w:rPr>
        <w:t>第十三条  解决合同纠纷的方式</w:t>
      </w:r>
      <w:bookmarkEnd w:id="12"/>
    </w:p>
    <w:p w14:paraId="4AEA57F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1．在执行本合同中发生的或与本合同有关的争端，双方应通过友好协商解决，经协商在___天内不能达成协议时，则采取以下第___种方式解决争议：</w:t>
      </w:r>
    </w:p>
    <w:p w14:paraId="69DF685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（1）向甲方所在地有管辖权的人民法院提起诉讼；</w:t>
      </w:r>
    </w:p>
    <w:p w14:paraId="6EF220F7">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lang w:val="en-US" w:eastAsia="zh-CN"/>
        </w:rPr>
        <w:t>汉中市</w:t>
      </w:r>
      <w:r>
        <w:rPr>
          <w:rFonts w:hint="eastAsia" w:ascii="宋体" w:hAnsi="宋体" w:eastAsia="宋体" w:cs="宋体"/>
          <w:color w:val="auto"/>
          <w:sz w:val="24"/>
          <w:szCs w:val="24"/>
        </w:rPr>
        <w:t>仲裁委员会按其仲裁规则申请仲裁。</w:t>
      </w:r>
    </w:p>
    <w:p w14:paraId="41FDD6E8">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2．在仲裁期间，本合同应继续履行。</w:t>
      </w:r>
    </w:p>
    <w:p w14:paraId="26A1632C">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3" w:name="_Toc31619"/>
      <w:r>
        <w:rPr>
          <w:rFonts w:hint="eastAsia" w:ascii="宋体" w:hAnsi="宋体" w:eastAsia="宋体" w:cs="宋体"/>
          <w:color w:val="auto"/>
          <w:sz w:val="24"/>
          <w:szCs w:val="24"/>
        </w:rPr>
        <w:t>第十四条  合同生效及其他</w:t>
      </w:r>
      <w:bookmarkEnd w:id="13"/>
    </w:p>
    <w:p w14:paraId="79DB80A3">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1．合同经双方法定代表人（单位负责人）或授权委托代理人签名并加盖单位公章并由采购代理机构盖章后生效。</w:t>
      </w:r>
    </w:p>
    <w:p w14:paraId="51D77CDE">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2．合同执行中涉及采购资金和采购内容修改或补充的，须经政府采购监管部门审批，并</w:t>
      </w:r>
      <w:r>
        <w:rPr>
          <w:rFonts w:hint="eastAsia" w:ascii="宋体" w:hAnsi="宋体" w:eastAsia="宋体" w:cs="宋体"/>
          <w:color w:val="auto"/>
          <w:sz w:val="24"/>
          <w:szCs w:val="24"/>
          <w:lang w:eastAsia="zh-CN"/>
        </w:rPr>
        <w:t>签订</w:t>
      </w:r>
      <w:r>
        <w:rPr>
          <w:rFonts w:hint="eastAsia" w:ascii="宋体" w:hAnsi="宋体" w:eastAsia="宋体" w:cs="宋体"/>
          <w:color w:val="auto"/>
          <w:sz w:val="24"/>
          <w:szCs w:val="24"/>
        </w:rPr>
        <w:t>书面补充协议报政府采购监督管理部门备案，方可作为主合同不可分割的一部分。</w:t>
      </w:r>
    </w:p>
    <w:p w14:paraId="70E35C5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3．本合同一式陆份，自双方签章之日起</w:t>
      </w:r>
      <w:r>
        <w:rPr>
          <w:rFonts w:hint="eastAsia" w:ascii="宋体" w:hAnsi="宋体" w:eastAsia="宋体" w:cs="宋体"/>
          <w:color w:val="auto"/>
          <w:sz w:val="24"/>
          <w:szCs w:val="24"/>
          <w:lang w:eastAsia="zh-CN"/>
        </w:rPr>
        <w:t>生效</w:t>
      </w:r>
      <w:r>
        <w:rPr>
          <w:rFonts w:hint="eastAsia" w:ascii="宋体" w:hAnsi="宋体" w:eastAsia="宋体" w:cs="宋体"/>
          <w:color w:val="auto"/>
          <w:sz w:val="24"/>
          <w:szCs w:val="24"/>
        </w:rPr>
        <w:t>。甲方贰份，乙方贰份，政府采购代理机构壹份，同级财政部门备案壹份，具有同等法律效力。</w:t>
      </w:r>
    </w:p>
    <w:p w14:paraId="7F15017E">
      <w:pPr>
        <w:pStyle w:val="8"/>
        <w:keepNext w:val="0"/>
        <w:keepLines w:val="0"/>
        <w:pageBreakBefore w:val="0"/>
        <w:widowControl w:val="0"/>
        <w:kinsoku/>
        <w:wordWrap/>
        <w:overflowPunct/>
        <w:topLinePunct w:val="0"/>
        <w:autoSpaceDE/>
        <w:autoSpaceDN/>
        <w:bidi w:val="0"/>
        <w:adjustRightInd/>
        <w:snapToGrid/>
        <w:spacing w:before="190" w:after="190" w:line="420" w:lineRule="exact"/>
        <w:textAlignment w:val="auto"/>
        <w:outlineLvl w:val="1"/>
        <w:rPr>
          <w:rFonts w:hint="eastAsia" w:ascii="宋体" w:hAnsi="宋体" w:eastAsia="宋体" w:cs="宋体"/>
          <w:color w:val="auto"/>
          <w:sz w:val="24"/>
          <w:szCs w:val="24"/>
        </w:rPr>
      </w:pPr>
      <w:bookmarkStart w:id="14" w:name="_Toc9305"/>
      <w:r>
        <w:rPr>
          <w:rFonts w:hint="eastAsia" w:ascii="宋体" w:hAnsi="宋体" w:eastAsia="宋体" w:cs="宋体"/>
          <w:color w:val="auto"/>
          <w:sz w:val="24"/>
          <w:szCs w:val="24"/>
        </w:rPr>
        <w:t>第十五条  附件</w:t>
      </w:r>
      <w:bookmarkEnd w:id="14"/>
    </w:p>
    <w:p w14:paraId="34635DDA">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1．项目</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w:t>
      </w:r>
    </w:p>
    <w:p w14:paraId="6EA9E690">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2．项目修改澄清文件</w:t>
      </w:r>
    </w:p>
    <w:p w14:paraId="2562AEE4">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3．项目</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w:t>
      </w:r>
    </w:p>
    <w:p w14:paraId="3E5608B9">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4．成交通知书</w:t>
      </w:r>
    </w:p>
    <w:p w14:paraId="7178BDB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5．其他</w:t>
      </w:r>
    </w:p>
    <w:p w14:paraId="660D01B6">
      <w:pPr>
        <w:pStyle w:val="7"/>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tbl>
      <w:tblPr>
        <w:tblStyle w:val="4"/>
        <w:tblW w:w="8950" w:type="dxa"/>
        <w:tblInd w:w="154" w:type="dxa"/>
        <w:tblLayout w:type="autofit"/>
        <w:tblCellMar>
          <w:top w:w="0" w:type="dxa"/>
          <w:left w:w="108" w:type="dxa"/>
          <w:bottom w:w="0" w:type="dxa"/>
          <w:right w:w="108" w:type="dxa"/>
        </w:tblCellMar>
      </w:tblPr>
      <w:tblGrid>
        <w:gridCol w:w="1689"/>
        <w:gridCol w:w="2828"/>
        <w:gridCol w:w="1850"/>
        <w:gridCol w:w="2583"/>
      </w:tblGrid>
      <w:tr w14:paraId="7FB3E368">
        <w:tblPrEx>
          <w:tblCellMar>
            <w:top w:w="0" w:type="dxa"/>
            <w:left w:w="108" w:type="dxa"/>
            <w:bottom w:w="0" w:type="dxa"/>
            <w:right w:w="108" w:type="dxa"/>
          </w:tblCellMar>
        </w:tblPrEx>
        <w:trPr>
          <w:trHeight w:val="510" w:hRule="atLeast"/>
        </w:trPr>
        <w:tc>
          <w:tcPr>
            <w:tcW w:w="1689" w:type="dxa"/>
            <w:shd w:val="clear" w:color="auto" w:fill="auto"/>
            <w:vAlign w:val="center"/>
          </w:tcPr>
          <w:p w14:paraId="15656E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     方：</w:t>
            </w:r>
          </w:p>
          <w:p w14:paraId="387024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c>
          <w:tcPr>
            <w:tcW w:w="2828" w:type="dxa"/>
            <w:tcBorders>
              <w:bottom w:val="single" w:color="D9D9D9" w:sz="4" w:space="0"/>
            </w:tcBorders>
            <w:shd w:val="clear" w:color="auto" w:fill="auto"/>
            <w:vAlign w:val="center"/>
          </w:tcPr>
          <w:p w14:paraId="4CAA4C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31EAE2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      方：</w:t>
            </w:r>
          </w:p>
          <w:p w14:paraId="5571A0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（盖章）</w:t>
            </w:r>
          </w:p>
        </w:tc>
        <w:tc>
          <w:tcPr>
            <w:tcW w:w="2583" w:type="dxa"/>
            <w:tcBorders>
              <w:bottom w:val="single" w:color="D9D9D9" w:sz="4" w:space="0"/>
            </w:tcBorders>
            <w:shd w:val="clear" w:color="auto" w:fill="auto"/>
            <w:vAlign w:val="center"/>
          </w:tcPr>
          <w:p w14:paraId="0356F1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084A79AE">
        <w:tblPrEx>
          <w:tblCellMar>
            <w:top w:w="0" w:type="dxa"/>
            <w:left w:w="108" w:type="dxa"/>
            <w:bottom w:w="0" w:type="dxa"/>
            <w:right w:w="108" w:type="dxa"/>
          </w:tblCellMar>
        </w:tblPrEx>
        <w:trPr>
          <w:trHeight w:val="510" w:hRule="atLeast"/>
        </w:trPr>
        <w:tc>
          <w:tcPr>
            <w:tcW w:w="1689" w:type="dxa"/>
            <w:shd w:val="clear" w:color="auto" w:fill="auto"/>
            <w:vAlign w:val="center"/>
          </w:tcPr>
          <w:p w14:paraId="4975EC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法定代表人/委托代理人：</w:t>
            </w:r>
          </w:p>
        </w:tc>
        <w:tc>
          <w:tcPr>
            <w:tcW w:w="2828" w:type="dxa"/>
            <w:tcBorders>
              <w:top w:val="single" w:color="D9D9D9" w:sz="4" w:space="0"/>
              <w:bottom w:val="single" w:color="D9D9D9" w:sz="4" w:space="0"/>
            </w:tcBorders>
            <w:shd w:val="clear" w:color="auto" w:fill="auto"/>
            <w:vAlign w:val="center"/>
          </w:tcPr>
          <w:p w14:paraId="552C67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088FFD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p w14:paraId="7A56B7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/委托代理人：</w:t>
            </w:r>
          </w:p>
        </w:tc>
        <w:tc>
          <w:tcPr>
            <w:tcW w:w="2583" w:type="dxa"/>
            <w:tcBorders>
              <w:top w:val="single" w:color="D9D9D9" w:sz="4" w:space="0"/>
              <w:bottom w:val="single" w:color="D9D9D9" w:sz="4" w:space="0"/>
            </w:tcBorders>
            <w:shd w:val="clear" w:color="auto" w:fill="auto"/>
            <w:vAlign w:val="center"/>
          </w:tcPr>
          <w:p w14:paraId="41CD26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0FD380F6">
        <w:tblPrEx>
          <w:tblCellMar>
            <w:top w:w="0" w:type="dxa"/>
            <w:left w:w="108" w:type="dxa"/>
            <w:bottom w:w="0" w:type="dxa"/>
            <w:right w:w="108" w:type="dxa"/>
          </w:tblCellMar>
        </w:tblPrEx>
        <w:trPr>
          <w:trHeight w:val="510" w:hRule="atLeast"/>
        </w:trPr>
        <w:tc>
          <w:tcPr>
            <w:tcW w:w="1689" w:type="dxa"/>
            <w:shd w:val="clear" w:color="auto" w:fill="auto"/>
            <w:vAlign w:val="center"/>
          </w:tcPr>
          <w:p w14:paraId="4F20D0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    址：</w:t>
            </w:r>
          </w:p>
        </w:tc>
        <w:tc>
          <w:tcPr>
            <w:tcW w:w="2828" w:type="dxa"/>
            <w:tcBorders>
              <w:top w:val="single" w:color="D9D9D9" w:sz="4" w:space="0"/>
              <w:bottom w:val="single" w:color="D9D9D9" w:sz="4" w:space="0"/>
            </w:tcBorders>
            <w:shd w:val="clear" w:color="auto" w:fill="auto"/>
            <w:vAlign w:val="center"/>
          </w:tcPr>
          <w:p w14:paraId="22ACB9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2B9512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    址：</w:t>
            </w:r>
          </w:p>
        </w:tc>
        <w:tc>
          <w:tcPr>
            <w:tcW w:w="2583" w:type="dxa"/>
            <w:tcBorders>
              <w:top w:val="single" w:color="D9D9D9" w:sz="4" w:space="0"/>
              <w:bottom w:val="single" w:color="D9D9D9" w:sz="4" w:space="0"/>
            </w:tcBorders>
            <w:shd w:val="clear" w:color="auto" w:fill="auto"/>
            <w:vAlign w:val="center"/>
          </w:tcPr>
          <w:p w14:paraId="13BC0E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3926D1BD">
        <w:tblPrEx>
          <w:tblCellMar>
            <w:top w:w="0" w:type="dxa"/>
            <w:left w:w="108" w:type="dxa"/>
            <w:bottom w:w="0" w:type="dxa"/>
            <w:right w:w="108" w:type="dxa"/>
          </w:tblCellMar>
        </w:tblPrEx>
        <w:trPr>
          <w:trHeight w:val="510" w:hRule="atLeast"/>
        </w:trPr>
        <w:tc>
          <w:tcPr>
            <w:tcW w:w="1689" w:type="dxa"/>
            <w:shd w:val="clear" w:color="auto" w:fill="auto"/>
            <w:vAlign w:val="center"/>
          </w:tcPr>
          <w:p w14:paraId="63545F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tc>
        <w:tc>
          <w:tcPr>
            <w:tcW w:w="2828" w:type="dxa"/>
            <w:tcBorders>
              <w:top w:val="single" w:color="D9D9D9" w:sz="4" w:space="0"/>
              <w:bottom w:val="single" w:color="D9D9D9" w:sz="4" w:space="0"/>
            </w:tcBorders>
            <w:shd w:val="clear" w:color="auto" w:fill="auto"/>
            <w:vAlign w:val="center"/>
          </w:tcPr>
          <w:p w14:paraId="79D5D8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1D6538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tc>
        <w:tc>
          <w:tcPr>
            <w:tcW w:w="2583" w:type="dxa"/>
            <w:tcBorders>
              <w:top w:val="single" w:color="D9D9D9" w:sz="4" w:space="0"/>
              <w:bottom w:val="single" w:color="D9D9D9" w:sz="4" w:space="0"/>
            </w:tcBorders>
            <w:shd w:val="clear" w:color="auto" w:fill="auto"/>
            <w:vAlign w:val="center"/>
          </w:tcPr>
          <w:p w14:paraId="4C9F6C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129696F6">
        <w:tblPrEx>
          <w:tblCellMar>
            <w:top w:w="0" w:type="dxa"/>
            <w:left w:w="108" w:type="dxa"/>
            <w:bottom w:w="0" w:type="dxa"/>
            <w:right w:w="108" w:type="dxa"/>
          </w:tblCellMar>
        </w:tblPrEx>
        <w:trPr>
          <w:trHeight w:val="510" w:hRule="atLeast"/>
        </w:trPr>
        <w:tc>
          <w:tcPr>
            <w:tcW w:w="1689" w:type="dxa"/>
            <w:shd w:val="clear" w:color="auto" w:fill="auto"/>
            <w:vAlign w:val="center"/>
          </w:tcPr>
          <w:p w14:paraId="0192AA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银行账号</w:t>
            </w:r>
            <w:r>
              <w:rPr>
                <w:rFonts w:hint="eastAsia" w:ascii="宋体" w:hAnsi="宋体" w:eastAsia="宋体" w:cs="宋体"/>
                <w:color w:val="auto"/>
                <w:kern w:val="0"/>
                <w:sz w:val="24"/>
                <w:szCs w:val="24"/>
              </w:rPr>
              <w:t>：</w:t>
            </w:r>
          </w:p>
        </w:tc>
        <w:tc>
          <w:tcPr>
            <w:tcW w:w="2828" w:type="dxa"/>
            <w:tcBorders>
              <w:top w:val="single" w:color="D9D9D9" w:sz="4" w:space="0"/>
              <w:bottom w:val="single" w:color="D9D9D9" w:sz="4" w:space="0"/>
            </w:tcBorders>
            <w:shd w:val="clear" w:color="auto" w:fill="auto"/>
            <w:vAlign w:val="center"/>
          </w:tcPr>
          <w:p w14:paraId="40190B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0CE19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银行账号</w:t>
            </w:r>
            <w:r>
              <w:rPr>
                <w:rFonts w:hint="eastAsia" w:ascii="宋体" w:hAnsi="宋体" w:eastAsia="宋体" w:cs="宋体"/>
                <w:color w:val="auto"/>
                <w:kern w:val="0"/>
                <w:sz w:val="24"/>
                <w:szCs w:val="24"/>
              </w:rPr>
              <w:t>：</w:t>
            </w:r>
          </w:p>
        </w:tc>
        <w:tc>
          <w:tcPr>
            <w:tcW w:w="2583" w:type="dxa"/>
            <w:tcBorders>
              <w:top w:val="single" w:color="D9D9D9" w:sz="4" w:space="0"/>
              <w:bottom w:val="single" w:color="D9D9D9" w:sz="4" w:space="0"/>
            </w:tcBorders>
            <w:shd w:val="clear" w:color="auto" w:fill="auto"/>
            <w:vAlign w:val="center"/>
          </w:tcPr>
          <w:p w14:paraId="638B7E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773AD274">
        <w:tblPrEx>
          <w:tblCellMar>
            <w:top w:w="0" w:type="dxa"/>
            <w:left w:w="108" w:type="dxa"/>
            <w:bottom w:w="0" w:type="dxa"/>
            <w:right w:w="108" w:type="dxa"/>
          </w:tblCellMar>
        </w:tblPrEx>
        <w:trPr>
          <w:trHeight w:val="510" w:hRule="atLeast"/>
        </w:trPr>
        <w:tc>
          <w:tcPr>
            <w:tcW w:w="1689" w:type="dxa"/>
            <w:shd w:val="clear" w:color="auto" w:fill="auto"/>
            <w:vAlign w:val="center"/>
          </w:tcPr>
          <w:p w14:paraId="5E4414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    话：</w:t>
            </w:r>
          </w:p>
        </w:tc>
        <w:tc>
          <w:tcPr>
            <w:tcW w:w="2828" w:type="dxa"/>
            <w:tcBorders>
              <w:top w:val="single" w:color="D9D9D9" w:sz="4" w:space="0"/>
              <w:bottom w:val="single" w:color="D9D9D9" w:sz="4" w:space="0"/>
            </w:tcBorders>
            <w:shd w:val="clear" w:color="auto" w:fill="auto"/>
            <w:vAlign w:val="center"/>
          </w:tcPr>
          <w:p w14:paraId="6D3674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7EBC72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    话：</w:t>
            </w:r>
          </w:p>
        </w:tc>
        <w:tc>
          <w:tcPr>
            <w:tcW w:w="2583" w:type="dxa"/>
            <w:tcBorders>
              <w:top w:val="single" w:color="D9D9D9" w:sz="4" w:space="0"/>
              <w:bottom w:val="single" w:color="D9D9D9" w:sz="4" w:space="0"/>
            </w:tcBorders>
            <w:shd w:val="clear" w:color="auto" w:fill="auto"/>
            <w:vAlign w:val="center"/>
          </w:tcPr>
          <w:p w14:paraId="5145F0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2A418B3D">
        <w:tblPrEx>
          <w:tblCellMar>
            <w:top w:w="0" w:type="dxa"/>
            <w:left w:w="108" w:type="dxa"/>
            <w:bottom w:w="0" w:type="dxa"/>
            <w:right w:w="108" w:type="dxa"/>
          </w:tblCellMar>
        </w:tblPrEx>
        <w:trPr>
          <w:trHeight w:val="510" w:hRule="atLeast"/>
        </w:trPr>
        <w:tc>
          <w:tcPr>
            <w:tcW w:w="1689" w:type="dxa"/>
            <w:shd w:val="clear" w:color="auto" w:fill="auto"/>
            <w:vAlign w:val="center"/>
          </w:tcPr>
          <w:p w14:paraId="2D7A40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    真：</w:t>
            </w:r>
          </w:p>
        </w:tc>
        <w:tc>
          <w:tcPr>
            <w:tcW w:w="2828" w:type="dxa"/>
            <w:tcBorders>
              <w:top w:val="single" w:color="D9D9D9" w:sz="4" w:space="0"/>
              <w:bottom w:val="single" w:color="D9D9D9" w:sz="4" w:space="0"/>
            </w:tcBorders>
            <w:shd w:val="clear" w:color="auto" w:fill="auto"/>
            <w:vAlign w:val="center"/>
          </w:tcPr>
          <w:p w14:paraId="5E649E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c>
          <w:tcPr>
            <w:tcW w:w="1850" w:type="dxa"/>
            <w:shd w:val="clear" w:color="auto" w:fill="auto"/>
            <w:vAlign w:val="center"/>
          </w:tcPr>
          <w:p w14:paraId="2EF766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    真：</w:t>
            </w:r>
          </w:p>
        </w:tc>
        <w:tc>
          <w:tcPr>
            <w:tcW w:w="2583" w:type="dxa"/>
            <w:tcBorders>
              <w:top w:val="single" w:color="D9D9D9" w:sz="4" w:space="0"/>
              <w:bottom w:val="single" w:color="D9D9D9" w:sz="4" w:space="0"/>
            </w:tcBorders>
            <w:shd w:val="clear" w:color="auto" w:fill="auto"/>
            <w:vAlign w:val="center"/>
          </w:tcPr>
          <w:p w14:paraId="4C898B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left"/>
              <w:textAlignment w:val="auto"/>
              <w:rPr>
                <w:rFonts w:hint="eastAsia" w:ascii="宋体" w:hAnsi="宋体" w:eastAsia="宋体" w:cs="宋体"/>
                <w:color w:val="auto"/>
                <w:kern w:val="0"/>
                <w:sz w:val="24"/>
                <w:szCs w:val="24"/>
              </w:rPr>
            </w:pPr>
          </w:p>
        </w:tc>
      </w:tr>
      <w:tr w14:paraId="55DF1394">
        <w:tblPrEx>
          <w:tblCellMar>
            <w:top w:w="0" w:type="dxa"/>
            <w:left w:w="108" w:type="dxa"/>
            <w:bottom w:w="0" w:type="dxa"/>
            <w:right w:w="108" w:type="dxa"/>
          </w:tblCellMar>
        </w:tblPrEx>
        <w:trPr>
          <w:trHeight w:val="510" w:hRule="atLeast"/>
        </w:trPr>
        <w:tc>
          <w:tcPr>
            <w:tcW w:w="1689" w:type="dxa"/>
            <w:shd w:val="clear" w:color="auto" w:fill="auto"/>
            <w:vAlign w:val="center"/>
          </w:tcPr>
          <w:p w14:paraId="261F6E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签约日期：</w:t>
            </w:r>
          </w:p>
        </w:tc>
        <w:tc>
          <w:tcPr>
            <w:tcW w:w="2828" w:type="dxa"/>
            <w:tcBorders>
              <w:top w:val="single" w:color="D9D9D9" w:sz="4" w:space="0"/>
              <w:bottom w:val="single" w:color="D9D9D9" w:sz="4" w:space="0"/>
            </w:tcBorders>
            <w:shd w:val="clear" w:color="auto" w:fill="auto"/>
            <w:vAlign w:val="center"/>
          </w:tcPr>
          <w:p w14:paraId="7E5358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  月  日</w:t>
            </w:r>
          </w:p>
        </w:tc>
        <w:tc>
          <w:tcPr>
            <w:tcW w:w="1850" w:type="dxa"/>
            <w:shd w:val="clear" w:color="auto" w:fill="auto"/>
            <w:vAlign w:val="center"/>
          </w:tcPr>
          <w:p w14:paraId="6BF7D1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distribute"/>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签约日期：</w:t>
            </w:r>
          </w:p>
        </w:tc>
        <w:tc>
          <w:tcPr>
            <w:tcW w:w="2583" w:type="dxa"/>
            <w:tcBorders>
              <w:top w:val="single" w:color="D9D9D9" w:sz="4" w:space="0"/>
              <w:bottom w:val="single" w:color="D9D9D9" w:sz="4" w:space="0"/>
            </w:tcBorders>
            <w:shd w:val="clear" w:color="auto" w:fill="auto"/>
            <w:vAlign w:val="center"/>
          </w:tcPr>
          <w:p w14:paraId="2FE31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20" w:lineRule="exact"/>
              <w:ind w:left="0" w:right="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  月  日</w:t>
            </w:r>
          </w:p>
        </w:tc>
      </w:tr>
    </w:tbl>
    <w:p w14:paraId="37B138FC">
      <w:pPr>
        <w:pStyle w:val="3"/>
        <w:spacing w:line="360" w:lineRule="auto"/>
        <w:rPr>
          <w:rFonts w:hint="eastAsia" w:ascii="宋体" w:hAnsi="宋体" w:eastAsia="宋体" w:cs="宋体"/>
          <w:color w:val="auto"/>
          <w:sz w:val="24"/>
          <w:szCs w:val="24"/>
        </w:rPr>
      </w:pPr>
    </w:p>
    <w:p w14:paraId="623420EC"/>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7064B"/>
    <w:rsid w:val="12E353C1"/>
    <w:rsid w:val="35784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eastAsia="宋体"/>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200" w:firstLineChars="200"/>
    </w:pPr>
    <w:rPr>
      <w:rFonts w:ascii="Times New Roman" w:hAnsi="Times New Roman" w:eastAsia="宋体"/>
      <w:sz w:val="24"/>
      <w:szCs w:val="20"/>
    </w:rPr>
  </w:style>
  <w:style w:type="paragraph" w:customStyle="1" w:styleId="6">
    <w:name w:val="章 标题"/>
    <w:basedOn w:val="1"/>
    <w:autoRedefine/>
    <w:qFormat/>
    <w:uiPriority w:val="0"/>
    <w:pPr>
      <w:spacing w:before="100" w:beforeLines="100" w:after="100" w:afterLines="100"/>
      <w:jc w:val="center"/>
    </w:pPr>
    <w:rPr>
      <w:rFonts w:ascii="Times New Roman" w:hAnsi="Times New Roman" w:eastAsia="华文中宋"/>
      <w:b/>
      <w:sz w:val="32"/>
    </w:rPr>
  </w:style>
  <w:style w:type="paragraph" w:customStyle="1" w:styleId="7">
    <w:name w:val="正文 样式"/>
    <w:basedOn w:val="1"/>
    <w:autoRedefine/>
    <w:qFormat/>
    <w:uiPriority w:val="0"/>
    <w:pPr>
      <w:spacing w:line="360" w:lineRule="auto"/>
      <w:ind w:firstLine="200" w:firstLineChars="200"/>
      <w:jc w:val="left"/>
    </w:pPr>
    <w:rPr>
      <w:rFonts w:ascii="Times New Roman" w:hAnsi="Times New Roman" w:eastAsia="宋体"/>
      <w:sz w:val="24"/>
    </w:rPr>
  </w:style>
  <w:style w:type="paragraph" w:customStyle="1" w:styleId="8">
    <w:name w:val="一级标题"/>
    <w:basedOn w:val="1"/>
    <w:autoRedefine/>
    <w:qFormat/>
    <w:uiPriority w:val="0"/>
    <w:pPr>
      <w:spacing w:before="50" w:beforeLines="50" w:after="50" w:afterLines="50"/>
      <w:jc w:val="left"/>
    </w:pPr>
    <w:rPr>
      <w:rFonts w:ascii="Times New Roman" w:hAnsi="Times New Roman" w:eastAsia="宋体"/>
      <w:b/>
      <w:sz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2289</Words>
  <Characters>2473</Characters>
  <Lines>0</Lines>
  <Paragraphs>0</Paragraphs>
  <TotalTime>4</TotalTime>
  <ScaleCrop>false</ScaleCrop>
  <LinksUpToDate>false</LinksUpToDate>
  <CharactersWithSpaces>2588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2025-08-11T10:35:00Z</dcterms:created>
  <dc:creator>Administrator</dc:creator>
  <cp:lastModifiedBy>鉛筆畫的再美丶終究是灰色</cp:lastModifiedBy>
  <dcterms:modified xsi:type="dcterms:W3CDTF">2025-08-15T08:42:45Z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eyJoZGlkIjoiMDAwNjU1NWZiMDNmNjAwM2Y5ZDkwYjllNTBkYWQzNmQiLCJ1c2VySWQiOiI4ODIyMTkifQ==</vt:lpwstr>
  </property>
  <property fmtid="{D5CDD505-2E9C-101B-9397-08002B2CF9AE}" pid="4" name="ICV">
    <vt:lpwstr>A4C90432A48C44B2B434B2390D523C0F_13</vt:lpwstr>
  </property>
</Properties>
</file>