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BA6F3">
      <w:pPr>
        <w:widowControl/>
        <w:adjustRightInd w:val="0"/>
        <w:snapToGrid w:val="0"/>
        <w:spacing w:after="50" w:line="360" w:lineRule="auto"/>
        <w:jc w:val="center"/>
        <w:outlineLvl w:val="9"/>
        <w:rPr>
          <w:rFonts w:hint="eastAsia" w:ascii="宋体" w:hAnsi="宋体" w:eastAsia="宋体" w:cs="宋体"/>
          <w:b/>
          <w:bCs/>
          <w:color w:val="auto"/>
          <w:kern w:val="44"/>
          <w:sz w:val="28"/>
          <w:szCs w:val="28"/>
          <w:highlight w:val="none"/>
          <w:lang w:val="zh-CN"/>
        </w:rPr>
      </w:pPr>
      <w:r>
        <w:rPr>
          <w:rFonts w:hint="eastAsia" w:ascii="宋体" w:hAnsi="宋体" w:eastAsia="宋体" w:cs="宋体"/>
          <w:b/>
          <w:bCs/>
          <w:color w:val="auto"/>
          <w:kern w:val="44"/>
          <w:sz w:val="28"/>
          <w:szCs w:val="28"/>
          <w:highlight w:val="none"/>
          <w:lang w:val="zh-CN"/>
        </w:rPr>
        <w:t>采购合同</w:t>
      </w:r>
    </w:p>
    <w:p w14:paraId="343C993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2" w:firstLineChars="200"/>
        <w:textAlignment w:val="auto"/>
        <w:rPr>
          <w:rFonts w:hint="eastAsia" w:ascii="宋体" w:hAnsi="宋体" w:eastAsia="宋体" w:cs="宋体"/>
          <w:color w:val="auto"/>
          <w:sz w:val="24"/>
          <w:szCs w:val="24"/>
          <w:highlight w:val="none"/>
        </w:rPr>
      </w:pPr>
      <w:r>
        <w:rPr>
          <w:rStyle w:val="8"/>
          <w:rFonts w:hint="eastAsia" w:ascii="宋体" w:hAnsi="宋体" w:eastAsia="宋体" w:cs="宋体"/>
          <w:color w:val="auto"/>
          <w:sz w:val="24"/>
          <w:szCs w:val="24"/>
          <w:highlight w:val="none"/>
        </w:rPr>
        <w:t>1、签订合同应遵守《中华人民共和国政府采购法》、《</w:t>
      </w:r>
      <w:r>
        <w:rPr>
          <w:rStyle w:val="8"/>
          <w:rFonts w:hint="eastAsia" w:ascii="宋体" w:hAnsi="宋体" w:eastAsia="宋体" w:cs="宋体"/>
          <w:color w:val="auto"/>
          <w:sz w:val="24"/>
          <w:szCs w:val="24"/>
          <w:highlight w:val="none"/>
          <w:lang w:val="en-US" w:eastAsia="zh-CN"/>
        </w:rPr>
        <w:t>中华人民共和国</w:t>
      </w:r>
      <w:r>
        <w:rPr>
          <w:rStyle w:val="8"/>
          <w:rFonts w:hint="eastAsia" w:ascii="宋体" w:hAnsi="宋体" w:eastAsia="宋体" w:cs="宋体"/>
          <w:color w:val="auto"/>
          <w:sz w:val="24"/>
          <w:szCs w:val="24"/>
          <w:highlight w:val="none"/>
        </w:rPr>
        <w:t>民法典》。</w:t>
      </w:r>
    </w:p>
    <w:p w14:paraId="06FFEDE6">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2" w:firstLineChars="200"/>
        <w:textAlignment w:val="auto"/>
        <w:rPr>
          <w:rFonts w:hint="eastAsia" w:ascii="宋体" w:hAnsi="宋体" w:eastAsia="宋体" w:cs="宋体"/>
          <w:color w:val="auto"/>
          <w:sz w:val="24"/>
          <w:szCs w:val="24"/>
          <w:highlight w:val="none"/>
        </w:rPr>
      </w:pPr>
      <w:r>
        <w:rPr>
          <w:rStyle w:val="8"/>
          <w:rFonts w:hint="eastAsia" w:ascii="宋体" w:hAnsi="宋体" w:eastAsia="宋体" w:cs="宋体"/>
          <w:color w:val="auto"/>
          <w:sz w:val="24"/>
          <w:szCs w:val="24"/>
          <w:highlight w:val="none"/>
        </w:rPr>
        <w:t>2、签订合同时，</w:t>
      </w:r>
      <w:r>
        <w:rPr>
          <w:rStyle w:val="8"/>
          <w:rFonts w:hint="eastAsia" w:ascii="宋体" w:hAnsi="宋体" w:eastAsia="宋体" w:cs="宋体"/>
          <w:color w:val="auto"/>
          <w:sz w:val="24"/>
          <w:szCs w:val="24"/>
          <w:highlight w:val="none"/>
          <w:lang w:eastAsia="zh-CN"/>
        </w:rPr>
        <w:t>采购人</w:t>
      </w:r>
      <w:r>
        <w:rPr>
          <w:rStyle w:val="8"/>
          <w:rFonts w:hint="eastAsia" w:ascii="宋体" w:hAnsi="宋体" w:eastAsia="宋体" w:cs="宋体"/>
          <w:color w:val="auto"/>
          <w:sz w:val="24"/>
          <w:szCs w:val="24"/>
          <w:highlight w:val="none"/>
        </w:rPr>
        <w:t>与中标</w:t>
      </w:r>
      <w:r>
        <w:rPr>
          <w:rStyle w:val="8"/>
          <w:rFonts w:hint="eastAsia" w:ascii="宋体" w:hAnsi="宋体" w:eastAsia="宋体" w:cs="宋体"/>
          <w:color w:val="auto"/>
          <w:sz w:val="24"/>
          <w:szCs w:val="24"/>
          <w:highlight w:val="none"/>
          <w:lang w:val="en-US" w:eastAsia="zh-CN"/>
        </w:rPr>
        <w:t>供应商</w:t>
      </w:r>
      <w:r>
        <w:rPr>
          <w:rStyle w:val="8"/>
          <w:rFonts w:hint="eastAsia" w:ascii="宋体" w:hAnsi="宋体" w:eastAsia="宋体" w:cs="宋体"/>
          <w:color w:val="auto"/>
          <w:sz w:val="24"/>
          <w:szCs w:val="24"/>
          <w:highlight w:val="none"/>
        </w:rPr>
        <w:t>应结合招标文件规定填列相应内容。招标文件已有规定的，双方均不得变更或调整；招标文件未作规定的，双方可通过友好协商进行约定。</w:t>
      </w:r>
    </w:p>
    <w:p w14:paraId="07AA2EA5">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2" w:firstLineChars="200"/>
        <w:textAlignment w:val="auto"/>
        <w:rPr>
          <w:rFonts w:hint="eastAsia" w:ascii="宋体" w:hAnsi="宋体" w:eastAsia="宋体" w:cs="宋体"/>
          <w:color w:val="auto"/>
          <w:sz w:val="24"/>
          <w:szCs w:val="24"/>
          <w:highlight w:val="none"/>
        </w:rPr>
      </w:pPr>
      <w:r>
        <w:rPr>
          <w:rStyle w:val="8"/>
          <w:rFonts w:hint="eastAsia" w:ascii="宋体" w:hAnsi="宋体" w:eastAsia="宋体" w:cs="宋体"/>
          <w:color w:val="auto"/>
          <w:sz w:val="24"/>
          <w:szCs w:val="24"/>
          <w:highlight w:val="none"/>
        </w:rPr>
        <w:t>3、本合同仅为参考，经</w:t>
      </w:r>
      <w:r>
        <w:rPr>
          <w:rStyle w:val="8"/>
          <w:rFonts w:hint="eastAsia" w:ascii="宋体" w:hAnsi="宋体" w:eastAsia="宋体" w:cs="宋体"/>
          <w:color w:val="auto"/>
          <w:sz w:val="24"/>
          <w:szCs w:val="24"/>
          <w:highlight w:val="none"/>
          <w:lang w:eastAsia="zh-CN"/>
        </w:rPr>
        <w:t>采购人</w:t>
      </w:r>
      <w:r>
        <w:rPr>
          <w:rStyle w:val="8"/>
          <w:rFonts w:hint="eastAsia" w:ascii="宋体" w:hAnsi="宋体" w:eastAsia="宋体" w:cs="宋体"/>
          <w:color w:val="auto"/>
          <w:sz w:val="24"/>
          <w:szCs w:val="24"/>
          <w:highlight w:val="none"/>
        </w:rPr>
        <w:t>与中标人协商一致确定合同文本。</w:t>
      </w:r>
    </w:p>
    <w:p w14:paraId="2954EE0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rPr>
        <w:t>全称）</w:t>
      </w:r>
    </w:p>
    <w:p w14:paraId="7D198A1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（中标</w:t>
      </w:r>
      <w:r>
        <w:rPr>
          <w:rFonts w:hint="eastAsia"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全称）</w:t>
      </w:r>
    </w:p>
    <w:p w14:paraId="6A4F1FD1">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根据招标编号为</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（填写“项目名称”）</w:t>
      </w:r>
      <w:r>
        <w:rPr>
          <w:rFonts w:hint="eastAsia" w:ascii="宋体" w:hAnsi="宋体" w:eastAsia="宋体" w:cs="宋体"/>
          <w:color w:val="auto"/>
          <w:sz w:val="24"/>
          <w:szCs w:val="24"/>
          <w:highlight w:val="none"/>
        </w:rPr>
        <w:t>项目（以下简称：“本项目”）的招标结果，乙方为中标</w:t>
      </w:r>
      <w:r>
        <w:rPr>
          <w:rFonts w:hint="eastAsia"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。现经甲乙双方友好协商，就以下事项达成一致并签订本合同：</w:t>
      </w:r>
    </w:p>
    <w:p w14:paraId="330CD09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1、下列合同文件是构成本合同不可分割的部分：</w:t>
      </w:r>
    </w:p>
    <w:p w14:paraId="68F92695">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1.1合同条款；</w:t>
      </w:r>
    </w:p>
    <w:p w14:paraId="0AF7897E">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1.2招标文件、乙方的投标文件；</w:t>
      </w:r>
    </w:p>
    <w:p w14:paraId="728E11EE">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1.3其他文件或材料：□无。□</w:t>
      </w:r>
      <w:r>
        <w:rPr>
          <w:rFonts w:hint="eastAsia" w:ascii="宋体" w:hAnsi="宋体" w:eastAsia="宋体" w:cs="宋体"/>
          <w:color w:val="auto"/>
          <w:sz w:val="24"/>
          <w:szCs w:val="24"/>
          <w:highlight w:val="none"/>
          <w:u w:val="single"/>
        </w:rPr>
        <w:t>（按照实际情况编制填写需要增加的内容）</w:t>
      </w:r>
      <w:r>
        <w:rPr>
          <w:rFonts w:hint="eastAsia" w:ascii="宋体" w:hAnsi="宋体" w:eastAsia="宋体" w:cs="宋体"/>
          <w:color w:val="auto"/>
          <w:sz w:val="24"/>
          <w:szCs w:val="24"/>
          <w:highlight w:val="none"/>
        </w:rPr>
        <w:t>。</w:t>
      </w:r>
    </w:p>
    <w:p w14:paraId="7F421AD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2、合同标的</w:t>
      </w:r>
    </w:p>
    <w:tbl>
      <w:tblPr>
        <w:tblStyle w:val="6"/>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41"/>
        <w:gridCol w:w="1142"/>
        <w:gridCol w:w="1805"/>
        <w:gridCol w:w="1164"/>
        <w:gridCol w:w="690"/>
        <w:gridCol w:w="1050"/>
        <w:gridCol w:w="810"/>
        <w:gridCol w:w="898"/>
      </w:tblGrid>
      <w:tr w14:paraId="51D4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57" w:type="dxa"/>
            <w:noWrap w:val="0"/>
            <w:vAlign w:val="center"/>
          </w:tcPr>
          <w:p w14:paraId="389D292C">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241" w:type="dxa"/>
            <w:noWrap w:val="0"/>
            <w:vAlign w:val="center"/>
          </w:tcPr>
          <w:p w14:paraId="517F7D4A">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142" w:type="dxa"/>
            <w:noWrap w:val="0"/>
            <w:vAlign w:val="center"/>
          </w:tcPr>
          <w:p w14:paraId="1C72E098">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w:t>
            </w:r>
          </w:p>
        </w:tc>
        <w:tc>
          <w:tcPr>
            <w:tcW w:w="1805" w:type="dxa"/>
            <w:noWrap w:val="0"/>
            <w:vAlign w:val="center"/>
          </w:tcPr>
          <w:p w14:paraId="6733473F">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规格型号</w:t>
            </w:r>
          </w:p>
        </w:tc>
        <w:tc>
          <w:tcPr>
            <w:tcW w:w="1164" w:type="dxa"/>
            <w:noWrap w:val="0"/>
            <w:vAlign w:val="center"/>
          </w:tcPr>
          <w:p w14:paraId="76A1D391">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生产厂商</w:t>
            </w:r>
          </w:p>
        </w:tc>
        <w:tc>
          <w:tcPr>
            <w:tcW w:w="690" w:type="dxa"/>
            <w:noWrap w:val="0"/>
            <w:vAlign w:val="center"/>
          </w:tcPr>
          <w:p w14:paraId="2FEC748D">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050" w:type="dxa"/>
            <w:noWrap w:val="0"/>
            <w:vAlign w:val="center"/>
          </w:tcPr>
          <w:p w14:paraId="6C48A7BC">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810" w:type="dxa"/>
            <w:noWrap w:val="0"/>
            <w:vAlign w:val="center"/>
          </w:tcPr>
          <w:p w14:paraId="01EE1D47">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总价（元）</w:t>
            </w:r>
          </w:p>
        </w:tc>
        <w:tc>
          <w:tcPr>
            <w:tcW w:w="898" w:type="dxa"/>
            <w:noWrap w:val="0"/>
            <w:vAlign w:val="center"/>
          </w:tcPr>
          <w:p w14:paraId="66969420">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2BFC5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7" w:type="dxa"/>
            <w:noWrap w:val="0"/>
            <w:vAlign w:val="center"/>
          </w:tcPr>
          <w:p w14:paraId="616C3A80">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241" w:type="dxa"/>
            <w:noWrap w:val="0"/>
            <w:vAlign w:val="top"/>
          </w:tcPr>
          <w:p w14:paraId="7545C9E2">
            <w:pPr>
              <w:jc w:val="center"/>
              <w:rPr>
                <w:rFonts w:hint="eastAsia" w:ascii="宋体" w:hAnsi="宋体" w:eastAsia="宋体" w:cs="宋体"/>
                <w:color w:val="auto"/>
                <w:sz w:val="21"/>
                <w:szCs w:val="21"/>
              </w:rPr>
            </w:pPr>
          </w:p>
        </w:tc>
        <w:tc>
          <w:tcPr>
            <w:tcW w:w="1142" w:type="dxa"/>
            <w:noWrap w:val="0"/>
            <w:vAlign w:val="top"/>
          </w:tcPr>
          <w:p w14:paraId="6300C439">
            <w:pPr>
              <w:jc w:val="center"/>
              <w:rPr>
                <w:rFonts w:hint="eastAsia" w:ascii="宋体" w:hAnsi="宋体" w:eastAsia="宋体" w:cs="宋体"/>
                <w:color w:val="auto"/>
                <w:sz w:val="21"/>
                <w:szCs w:val="21"/>
              </w:rPr>
            </w:pPr>
          </w:p>
        </w:tc>
        <w:tc>
          <w:tcPr>
            <w:tcW w:w="1805" w:type="dxa"/>
            <w:noWrap w:val="0"/>
            <w:vAlign w:val="top"/>
          </w:tcPr>
          <w:p w14:paraId="4F34CFB1">
            <w:pPr>
              <w:jc w:val="center"/>
              <w:rPr>
                <w:rFonts w:hint="eastAsia" w:ascii="宋体" w:hAnsi="宋体" w:eastAsia="宋体" w:cs="宋体"/>
                <w:color w:val="auto"/>
                <w:sz w:val="21"/>
                <w:szCs w:val="21"/>
              </w:rPr>
            </w:pPr>
          </w:p>
        </w:tc>
        <w:tc>
          <w:tcPr>
            <w:tcW w:w="1164" w:type="dxa"/>
            <w:noWrap w:val="0"/>
            <w:vAlign w:val="top"/>
          </w:tcPr>
          <w:p w14:paraId="7D504AD5">
            <w:pPr>
              <w:jc w:val="center"/>
              <w:rPr>
                <w:rFonts w:hint="eastAsia" w:ascii="宋体" w:hAnsi="宋体" w:eastAsia="宋体" w:cs="宋体"/>
                <w:color w:val="auto"/>
                <w:sz w:val="21"/>
                <w:szCs w:val="21"/>
              </w:rPr>
            </w:pPr>
          </w:p>
        </w:tc>
        <w:tc>
          <w:tcPr>
            <w:tcW w:w="690" w:type="dxa"/>
            <w:noWrap w:val="0"/>
            <w:vAlign w:val="top"/>
          </w:tcPr>
          <w:p w14:paraId="2F193D35">
            <w:pPr>
              <w:jc w:val="center"/>
              <w:rPr>
                <w:rFonts w:hint="eastAsia" w:ascii="宋体" w:hAnsi="宋体" w:eastAsia="宋体" w:cs="宋体"/>
                <w:color w:val="auto"/>
                <w:sz w:val="21"/>
                <w:szCs w:val="21"/>
              </w:rPr>
            </w:pPr>
          </w:p>
        </w:tc>
        <w:tc>
          <w:tcPr>
            <w:tcW w:w="1050" w:type="dxa"/>
            <w:noWrap w:val="0"/>
            <w:vAlign w:val="top"/>
          </w:tcPr>
          <w:p w14:paraId="2FCAAAC4">
            <w:pPr>
              <w:jc w:val="center"/>
              <w:rPr>
                <w:rFonts w:hint="eastAsia" w:ascii="宋体" w:hAnsi="宋体" w:eastAsia="宋体" w:cs="宋体"/>
                <w:color w:val="auto"/>
                <w:sz w:val="21"/>
                <w:szCs w:val="21"/>
              </w:rPr>
            </w:pPr>
          </w:p>
        </w:tc>
        <w:tc>
          <w:tcPr>
            <w:tcW w:w="810" w:type="dxa"/>
            <w:noWrap w:val="0"/>
            <w:vAlign w:val="top"/>
          </w:tcPr>
          <w:p w14:paraId="7B169E2C">
            <w:pPr>
              <w:jc w:val="center"/>
              <w:rPr>
                <w:rFonts w:hint="eastAsia" w:ascii="宋体" w:hAnsi="宋体" w:eastAsia="宋体" w:cs="宋体"/>
                <w:color w:val="auto"/>
                <w:sz w:val="21"/>
                <w:szCs w:val="21"/>
              </w:rPr>
            </w:pPr>
          </w:p>
        </w:tc>
        <w:tc>
          <w:tcPr>
            <w:tcW w:w="898" w:type="dxa"/>
            <w:noWrap w:val="0"/>
            <w:vAlign w:val="top"/>
          </w:tcPr>
          <w:p w14:paraId="2225E624">
            <w:pPr>
              <w:jc w:val="center"/>
              <w:rPr>
                <w:rFonts w:hint="eastAsia" w:ascii="宋体" w:hAnsi="宋体" w:eastAsia="宋体" w:cs="宋体"/>
                <w:color w:val="auto"/>
                <w:sz w:val="21"/>
                <w:szCs w:val="21"/>
              </w:rPr>
            </w:pPr>
          </w:p>
        </w:tc>
      </w:tr>
      <w:tr w14:paraId="24D2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57" w:type="dxa"/>
            <w:noWrap w:val="0"/>
            <w:vAlign w:val="center"/>
          </w:tcPr>
          <w:p w14:paraId="77DF9972">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241" w:type="dxa"/>
            <w:noWrap w:val="0"/>
            <w:vAlign w:val="top"/>
          </w:tcPr>
          <w:p w14:paraId="28343C22">
            <w:pPr>
              <w:jc w:val="center"/>
              <w:rPr>
                <w:rFonts w:hint="eastAsia" w:ascii="宋体" w:hAnsi="宋体" w:eastAsia="宋体" w:cs="宋体"/>
                <w:color w:val="auto"/>
                <w:sz w:val="21"/>
                <w:szCs w:val="21"/>
              </w:rPr>
            </w:pPr>
          </w:p>
        </w:tc>
        <w:tc>
          <w:tcPr>
            <w:tcW w:w="1142" w:type="dxa"/>
            <w:noWrap w:val="0"/>
            <w:vAlign w:val="top"/>
          </w:tcPr>
          <w:p w14:paraId="79D7993F">
            <w:pPr>
              <w:jc w:val="center"/>
              <w:rPr>
                <w:rFonts w:hint="eastAsia" w:ascii="宋体" w:hAnsi="宋体" w:eastAsia="宋体" w:cs="宋体"/>
                <w:color w:val="auto"/>
                <w:sz w:val="21"/>
                <w:szCs w:val="21"/>
              </w:rPr>
            </w:pPr>
          </w:p>
        </w:tc>
        <w:tc>
          <w:tcPr>
            <w:tcW w:w="1805" w:type="dxa"/>
            <w:noWrap w:val="0"/>
            <w:vAlign w:val="top"/>
          </w:tcPr>
          <w:p w14:paraId="3201F2F6">
            <w:pPr>
              <w:jc w:val="center"/>
              <w:rPr>
                <w:rFonts w:hint="eastAsia" w:ascii="宋体" w:hAnsi="宋体" w:eastAsia="宋体" w:cs="宋体"/>
                <w:color w:val="auto"/>
                <w:sz w:val="21"/>
                <w:szCs w:val="21"/>
              </w:rPr>
            </w:pPr>
          </w:p>
        </w:tc>
        <w:tc>
          <w:tcPr>
            <w:tcW w:w="1164" w:type="dxa"/>
            <w:noWrap w:val="0"/>
            <w:vAlign w:val="top"/>
          </w:tcPr>
          <w:p w14:paraId="31DE5297">
            <w:pPr>
              <w:jc w:val="center"/>
              <w:rPr>
                <w:rFonts w:hint="eastAsia" w:ascii="宋体" w:hAnsi="宋体" w:eastAsia="宋体" w:cs="宋体"/>
                <w:color w:val="auto"/>
                <w:sz w:val="21"/>
                <w:szCs w:val="21"/>
              </w:rPr>
            </w:pPr>
          </w:p>
        </w:tc>
        <w:tc>
          <w:tcPr>
            <w:tcW w:w="690" w:type="dxa"/>
            <w:noWrap w:val="0"/>
            <w:vAlign w:val="top"/>
          </w:tcPr>
          <w:p w14:paraId="46FA3F68">
            <w:pPr>
              <w:jc w:val="center"/>
              <w:rPr>
                <w:rFonts w:hint="eastAsia" w:ascii="宋体" w:hAnsi="宋体" w:eastAsia="宋体" w:cs="宋体"/>
                <w:color w:val="auto"/>
                <w:sz w:val="21"/>
                <w:szCs w:val="21"/>
              </w:rPr>
            </w:pPr>
          </w:p>
        </w:tc>
        <w:tc>
          <w:tcPr>
            <w:tcW w:w="1050" w:type="dxa"/>
            <w:noWrap w:val="0"/>
            <w:vAlign w:val="top"/>
          </w:tcPr>
          <w:p w14:paraId="25FCC56E">
            <w:pPr>
              <w:jc w:val="center"/>
              <w:rPr>
                <w:rFonts w:hint="eastAsia" w:ascii="宋体" w:hAnsi="宋体" w:eastAsia="宋体" w:cs="宋体"/>
                <w:color w:val="auto"/>
                <w:sz w:val="21"/>
                <w:szCs w:val="21"/>
              </w:rPr>
            </w:pPr>
          </w:p>
        </w:tc>
        <w:tc>
          <w:tcPr>
            <w:tcW w:w="810" w:type="dxa"/>
            <w:noWrap w:val="0"/>
            <w:vAlign w:val="top"/>
          </w:tcPr>
          <w:p w14:paraId="6F000882">
            <w:pPr>
              <w:jc w:val="center"/>
              <w:rPr>
                <w:rFonts w:hint="eastAsia" w:ascii="宋体" w:hAnsi="宋体" w:eastAsia="宋体" w:cs="宋体"/>
                <w:color w:val="auto"/>
                <w:sz w:val="21"/>
                <w:szCs w:val="21"/>
              </w:rPr>
            </w:pPr>
          </w:p>
        </w:tc>
        <w:tc>
          <w:tcPr>
            <w:tcW w:w="898" w:type="dxa"/>
            <w:noWrap w:val="0"/>
            <w:vAlign w:val="top"/>
          </w:tcPr>
          <w:p w14:paraId="4B287315">
            <w:pPr>
              <w:jc w:val="center"/>
              <w:rPr>
                <w:rFonts w:hint="eastAsia" w:ascii="宋体" w:hAnsi="宋体" w:eastAsia="宋体" w:cs="宋体"/>
                <w:color w:val="auto"/>
                <w:sz w:val="21"/>
                <w:szCs w:val="21"/>
              </w:rPr>
            </w:pPr>
          </w:p>
        </w:tc>
      </w:tr>
      <w:tr w14:paraId="2EC7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7" w:type="dxa"/>
            <w:noWrap w:val="0"/>
            <w:vAlign w:val="center"/>
          </w:tcPr>
          <w:p w14:paraId="3A298118">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241" w:type="dxa"/>
            <w:noWrap w:val="0"/>
            <w:vAlign w:val="top"/>
          </w:tcPr>
          <w:p w14:paraId="5331696F">
            <w:pPr>
              <w:jc w:val="center"/>
              <w:rPr>
                <w:rFonts w:hint="eastAsia" w:ascii="宋体" w:hAnsi="宋体" w:eastAsia="宋体" w:cs="宋体"/>
                <w:color w:val="auto"/>
                <w:sz w:val="21"/>
                <w:szCs w:val="21"/>
              </w:rPr>
            </w:pPr>
          </w:p>
        </w:tc>
        <w:tc>
          <w:tcPr>
            <w:tcW w:w="1142" w:type="dxa"/>
            <w:noWrap w:val="0"/>
            <w:vAlign w:val="top"/>
          </w:tcPr>
          <w:p w14:paraId="6BA0C798">
            <w:pPr>
              <w:jc w:val="center"/>
              <w:rPr>
                <w:rFonts w:hint="eastAsia" w:ascii="宋体" w:hAnsi="宋体" w:eastAsia="宋体" w:cs="宋体"/>
                <w:color w:val="auto"/>
                <w:sz w:val="21"/>
                <w:szCs w:val="21"/>
              </w:rPr>
            </w:pPr>
          </w:p>
        </w:tc>
        <w:tc>
          <w:tcPr>
            <w:tcW w:w="1805" w:type="dxa"/>
            <w:noWrap w:val="0"/>
            <w:vAlign w:val="top"/>
          </w:tcPr>
          <w:p w14:paraId="00622017">
            <w:pPr>
              <w:jc w:val="center"/>
              <w:rPr>
                <w:rFonts w:hint="eastAsia" w:ascii="宋体" w:hAnsi="宋体" w:eastAsia="宋体" w:cs="宋体"/>
                <w:color w:val="auto"/>
                <w:sz w:val="21"/>
                <w:szCs w:val="21"/>
              </w:rPr>
            </w:pPr>
          </w:p>
        </w:tc>
        <w:tc>
          <w:tcPr>
            <w:tcW w:w="1164" w:type="dxa"/>
            <w:noWrap w:val="0"/>
            <w:vAlign w:val="top"/>
          </w:tcPr>
          <w:p w14:paraId="210ED5A8">
            <w:pPr>
              <w:jc w:val="center"/>
              <w:rPr>
                <w:rFonts w:hint="eastAsia" w:ascii="宋体" w:hAnsi="宋体" w:eastAsia="宋体" w:cs="宋体"/>
                <w:color w:val="auto"/>
                <w:sz w:val="21"/>
                <w:szCs w:val="21"/>
              </w:rPr>
            </w:pPr>
          </w:p>
        </w:tc>
        <w:tc>
          <w:tcPr>
            <w:tcW w:w="690" w:type="dxa"/>
            <w:noWrap w:val="0"/>
            <w:vAlign w:val="top"/>
          </w:tcPr>
          <w:p w14:paraId="39E704A4">
            <w:pPr>
              <w:jc w:val="center"/>
              <w:rPr>
                <w:rFonts w:hint="eastAsia" w:ascii="宋体" w:hAnsi="宋体" w:eastAsia="宋体" w:cs="宋体"/>
                <w:color w:val="auto"/>
                <w:sz w:val="21"/>
                <w:szCs w:val="21"/>
              </w:rPr>
            </w:pPr>
          </w:p>
        </w:tc>
        <w:tc>
          <w:tcPr>
            <w:tcW w:w="1050" w:type="dxa"/>
            <w:noWrap w:val="0"/>
            <w:vAlign w:val="top"/>
          </w:tcPr>
          <w:p w14:paraId="6B311EDD">
            <w:pPr>
              <w:jc w:val="center"/>
              <w:rPr>
                <w:rFonts w:hint="eastAsia" w:ascii="宋体" w:hAnsi="宋体" w:eastAsia="宋体" w:cs="宋体"/>
                <w:color w:val="auto"/>
                <w:sz w:val="21"/>
                <w:szCs w:val="21"/>
              </w:rPr>
            </w:pPr>
          </w:p>
        </w:tc>
        <w:tc>
          <w:tcPr>
            <w:tcW w:w="810" w:type="dxa"/>
            <w:noWrap w:val="0"/>
            <w:vAlign w:val="top"/>
          </w:tcPr>
          <w:p w14:paraId="5BC254AF">
            <w:pPr>
              <w:jc w:val="center"/>
              <w:rPr>
                <w:rFonts w:hint="eastAsia" w:ascii="宋体" w:hAnsi="宋体" w:eastAsia="宋体" w:cs="宋体"/>
                <w:color w:val="auto"/>
                <w:sz w:val="21"/>
                <w:szCs w:val="21"/>
              </w:rPr>
            </w:pPr>
          </w:p>
        </w:tc>
        <w:tc>
          <w:tcPr>
            <w:tcW w:w="898" w:type="dxa"/>
            <w:noWrap w:val="0"/>
            <w:vAlign w:val="top"/>
          </w:tcPr>
          <w:p w14:paraId="274ECE21">
            <w:pPr>
              <w:jc w:val="center"/>
              <w:rPr>
                <w:rFonts w:hint="eastAsia" w:ascii="宋体" w:hAnsi="宋体" w:eastAsia="宋体" w:cs="宋体"/>
                <w:color w:val="auto"/>
                <w:sz w:val="21"/>
                <w:szCs w:val="21"/>
              </w:rPr>
            </w:pPr>
          </w:p>
        </w:tc>
      </w:tr>
      <w:tr w14:paraId="5AD0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757" w:type="dxa"/>
            <w:noWrap w:val="0"/>
            <w:vAlign w:val="center"/>
          </w:tcPr>
          <w:p w14:paraId="15D1A88C">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w:t>
            </w:r>
            <w:r>
              <w:rPr>
                <w:rFonts w:hint="eastAsia" w:ascii="宋体" w:hAnsi="宋体" w:eastAsia="宋体" w:cs="宋体"/>
                <w:color w:val="auto"/>
                <w:sz w:val="21"/>
                <w:szCs w:val="21"/>
                <w:lang w:val="en-US" w:eastAsia="zh-CN"/>
              </w:rPr>
              <w:t>总</w:t>
            </w:r>
            <w:r>
              <w:rPr>
                <w:rFonts w:hint="eastAsia" w:ascii="宋体" w:hAnsi="宋体" w:eastAsia="宋体" w:cs="宋体"/>
                <w:color w:val="auto"/>
                <w:sz w:val="21"/>
                <w:szCs w:val="21"/>
              </w:rPr>
              <w:t>报价</w:t>
            </w:r>
          </w:p>
        </w:tc>
        <w:tc>
          <w:tcPr>
            <w:tcW w:w="8800" w:type="dxa"/>
            <w:gridSpan w:val="8"/>
            <w:noWrap w:val="0"/>
            <w:vAlign w:val="center"/>
          </w:tcPr>
          <w:p w14:paraId="0887834A">
            <w:pPr>
              <w:ind w:left="0" w:leftChars="0" w:firstLine="0" w:firstLineChars="0"/>
              <w:jc w:val="both"/>
              <w:rPr>
                <w:rFonts w:hint="eastAsia" w:ascii="宋体" w:hAnsi="宋体" w:eastAsia="宋体" w:cs="宋体"/>
                <w:color w:val="auto"/>
                <w:sz w:val="21"/>
                <w:szCs w:val="21"/>
              </w:rPr>
            </w:pPr>
            <w:r>
              <w:rPr>
                <w:rFonts w:hint="eastAsia" w:ascii="宋体" w:hAnsi="宋体" w:eastAsia="宋体" w:cs="宋体"/>
                <w:color w:val="auto"/>
                <w:sz w:val="21"/>
                <w:szCs w:val="21"/>
              </w:rPr>
              <w:t>大写：</w:t>
            </w:r>
          </w:p>
          <w:p w14:paraId="4230D346">
            <w:pPr>
              <w:ind w:left="0" w:leftChars="0" w:firstLine="0" w:firstLineChars="0"/>
              <w:jc w:val="both"/>
              <w:rPr>
                <w:rFonts w:hint="eastAsia" w:ascii="宋体" w:hAnsi="宋体" w:eastAsia="宋体" w:cs="宋体"/>
                <w:color w:val="auto"/>
                <w:sz w:val="21"/>
                <w:szCs w:val="21"/>
              </w:rPr>
            </w:pPr>
            <w:r>
              <w:rPr>
                <w:rFonts w:hint="eastAsia" w:ascii="宋体" w:hAnsi="宋体" w:eastAsia="宋体" w:cs="宋体"/>
                <w:color w:val="auto"/>
                <w:sz w:val="21"/>
                <w:szCs w:val="21"/>
              </w:rPr>
              <w:t>小写：</w:t>
            </w:r>
          </w:p>
        </w:tc>
      </w:tr>
      <w:tr w14:paraId="7896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7" w:type="dxa"/>
            <w:noWrap w:val="0"/>
            <w:vAlign w:val="center"/>
          </w:tcPr>
          <w:p w14:paraId="0B1F35A9">
            <w:pPr>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c>
          <w:tcPr>
            <w:tcW w:w="8800" w:type="dxa"/>
            <w:gridSpan w:val="8"/>
            <w:noWrap w:val="0"/>
            <w:vAlign w:val="center"/>
          </w:tcPr>
          <w:p w14:paraId="5FBA8807">
            <w:pPr>
              <w:ind w:left="0" w:leftChars="0"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保留小数点后两位</w:t>
            </w:r>
            <w:r>
              <w:rPr>
                <w:rFonts w:hint="eastAsia" w:ascii="宋体" w:hAnsi="宋体" w:eastAsia="宋体" w:cs="宋体"/>
                <w:color w:val="auto"/>
                <w:sz w:val="21"/>
                <w:szCs w:val="21"/>
                <w:lang w:eastAsia="zh-CN"/>
              </w:rPr>
              <w:t>。</w:t>
            </w:r>
          </w:p>
        </w:tc>
      </w:tr>
    </w:tbl>
    <w:p w14:paraId="28AAC02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w:t>
      </w:r>
      <w:r>
        <w:rPr>
          <w:rFonts w:hint="eastAsia" w:eastAsia="宋体" w:cs="宋体"/>
          <w:color w:val="auto"/>
          <w:sz w:val="24"/>
          <w:szCs w:val="24"/>
          <w:highlight w:val="none"/>
          <w:lang w:val="en-US" w:eastAsia="zh-CN"/>
        </w:rPr>
        <w:t>暂定</w:t>
      </w:r>
      <w:r>
        <w:rPr>
          <w:rFonts w:hint="eastAsia" w:ascii="宋体" w:hAnsi="宋体" w:eastAsia="宋体" w:cs="宋体"/>
          <w:color w:val="auto"/>
          <w:sz w:val="24"/>
          <w:szCs w:val="24"/>
          <w:highlight w:val="none"/>
        </w:rPr>
        <w:t>总价：人民币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元（¥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04BCF2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lang w:eastAsia="zh-CN"/>
        </w:rPr>
      </w:pPr>
      <w:r>
        <w:rPr>
          <w:rFonts w:hint="eastAsia"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合同价格包括：</w:t>
      </w:r>
      <w:r>
        <w:rPr>
          <w:rFonts w:hint="eastAsia" w:ascii="宋体" w:hAnsi="宋体" w:eastAsia="宋体" w:cs="宋体"/>
          <w:color w:val="auto"/>
          <w:sz w:val="24"/>
          <w:szCs w:val="24"/>
          <w:highlight w:val="none"/>
          <w:lang w:val="en-US" w:eastAsia="zh-CN"/>
        </w:rPr>
        <w:t>设备材料费、设备费、人工费、机械费、运输费、安装费、售后服务费、税金及代理服务费等所有费用</w:t>
      </w:r>
      <w:r>
        <w:rPr>
          <w:rFonts w:hint="eastAsia" w:ascii="宋体" w:hAnsi="宋体" w:eastAsia="宋体" w:cs="宋体"/>
          <w:color w:val="auto"/>
          <w:sz w:val="24"/>
          <w:szCs w:val="24"/>
          <w:highlight w:val="none"/>
          <w:lang w:eastAsia="zh-CN"/>
        </w:rPr>
        <w:t>。</w:t>
      </w:r>
    </w:p>
    <w:p w14:paraId="7E8539BD">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为固定</w:t>
      </w: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，不受市场价变化的影响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以最终交货验收数量*固定</w:t>
      </w: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val="en-US" w:eastAsia="zh-CN"/>
        </w:rPr>
        <w:t>进行结算</w:t>
      </w:r>
      <w:r>
        <w:rPr>
          <w:rFonts w:hint="eastAsia" w:ascii="宋体" w:hAnsi="宋体" w:eastAsia="宋体" w:cs="宋体"/>
          <w:color w:val="auto"/>
          <w:sz w:val="24"/>
          <w:szCs w:val="24"/>
          <w:highlight w:val="none"/>
        </w:rPr>
        <w:t>。</w:t>
      </w:r>
    </w:p>
    <w:p w14:paraId="0F6D0CE7">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Hans"/>
        </w:rPr>
        <w:t>.</w:t>
      </w:r>
      <w:r>
        <w:rPr>
          <w:rFonts w:hint="eastAsia"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Hans"/>
        </w:rPr>
        <w:t>付款方式：</w:t>
      </w:r>
      <w:r>
        <w:rPr>
          <w:rFonts w:hint="eastAsia" w:ascii="宋体" w:hAnsi="宋体" w:eastAsia="宋体" w:cs="宋体"/>
          <w:color w:val="auto"/>
          <w:sz w:val="24"/>
          <w:szCs w:val="24"/>
          <w:highlight w:val="none"/>
          <w:u w:val="single"/>
          <w:lang w:val="en-US" w:eastAsia="zh-Hans"/>
        </w:rPr>
        <w:t>合同签订后，乙方向甲方支付合同总价10%的履约担保，甲方向乙方支付合同总价</w:t>
      </w:r>
      <w:r>
        <w:rPr>
          <w:rFonts w:hint="eastAsia"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lang w:val="en-US" w:eastAsia="zh-Hans"/>
        </w:rPr>
        <w:t>0%的预付款（或支付担保）。全部货物按招标文件交货期约定交付使用，且验收合格履约完成后，甲方支付</w:t>
      </w:r>
      <w:r>
        <w:rPr>
          <w:rFonts w:hint="eastAsia" w:eastAsia="宋体" w:cs="宋体"/>
          <w:color w:val="auto"/>
          <w:sz w:val="24"/>
          <w:szCs w:val="24"/>
          <w:highlight w:val="none"/>
          <w:u w:val="single"/>
          <w:lang w:val="en-US" w:eastAsia="zh-CN"/>
        </w:rPr>
        <w:t>至</w:t>
      </w:r>
      <w:r>
        <w:rPr>
          <w:rFonts w:hint="eastAsia" w:ascii="宋体" w:hAnsi="宋体" w:eastAsia="宋体" w:cs="宋体"/>
          <w:color w:val="auto"/>
          <w:sz w:val="24"/>
          <w:szCs w:val="24"/>
          <w:highlight w:val="none"/>
          <w:u w:val="single"/>
          <w:lang w:val="en-US" w:eastAsia="zh-Hans"/>
        </w:rPr>
        <w:t>合同总价款的100%（支付时间在合同签订后60日内），并按乙方支付方式退还乙方的履约担保。如乙方未能按投标文件承诺的时间、产品内容、参数、质量交货的，甲方有权单方面中止合同，并不予退还相应履约担保（如采用担保形式担保的，担保单位承担连带责任并向甲方支付等额履约保证金），给甲方造成的损失超过履约保证金数额的，还应当对超过部分予以赔偿。</w:t>
      </w:r>
      <w:r>
        <w:rPr>
          <w:rFonts w:hint="eastAsia" w:ascii="宋体" w:hAnsi="宋体" w:eastAsia="宋体" w:cs="宋体"/>
          <w:color w:val="auto"/>
          <w:sz w:val="24"/>
          <w:szCs w:val="24"/>
          <w:highlight w:val="none"/>
          <w:u w:val="single"/>
          <w:lang w:eastAsia="zh-Hans"/>
        </w:rPr>
        <w:t>在甲方付款前，乙方应开具符合甲方要求的增值税专用发票</w:t>
      </w:r>
      <w:r>
        <w:rPr>
          <w:rFonts w:hint="eastAsia" w:eastAsia="宋体" w:cs="宋体"/>
          <w:color w:val="auto"/>
          <w:sz w:val="24"/>
          <w:szCs w:val="24"/>
          <w:highlight w:val="none"/>
          <w:u w:val="single"/>
          <w:lang w:eastAsia="zh-CN"/>
        </w:rPr>
        <w:t>。</w:t>
      </w:r>
    </w:p>
    <w:p w14:paraId="1583E2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3.4</w:t>
      </w:r>
      <w:r>
        <w:rPr>
          <w:rFonts w:hint="eastAsia" w:ascii="宋体" w:hAnsi="宋体" w:cs="宋体"/>
          <w:color w:val="auto"/>
          <w:sz w:val="24"/>
          <w:szCs w:val="24"/>
          <w:highlight w:val="none"/>
        </w:rPr>
        <w:t>结算方式：银行转账。</w:t>
      </w:r>
    </w:p>
    <w:p w14:paraId="1EBE040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lang w:val="en-US" w:eastAsia="zh-CN"/>
        </w:rPr>
        <w:t>3.5</w:t>
      </w:r>
      <w:r>
        <w:rPr>
          <w:rFonts w:hint="eastAsia" w:ascii="宋体" w:hAnsi="宋体" w:cs="宋体"/>
          <w:color w:val="auto"/>
          <w:sz w:val="24"/>
          <w:szCs w:val="24"/>
        </w:rPr>
        <w:t>结算单位：由</w:t>
      </w:r>
      <w:r>
        <w:rPr>
          <w:rFonts w:hint="eastAsia" w:cs="宋体"/>
          <w:color w:val="auto"/>
          <w:sz w:val="24"/>
          <w:szCs w:val="24"/>
          <w:lang w:val="en-US" w:eastAsia="zh-CN"/>
        </w:rPr>
        <w:t>甲方</w:t>
      </w:r>
      <w:r>
        <w:rPr>
          <w:rFonts w:hint="eastAsia" w:ascii="宋体" w:hAnsi="宋体" w:cs="宋体"/>
          <w:color w:val="auto"/>
          <w:sz w:val="24"/>
          <w:szCs w:val="24"/>
        </w:rPr>
        <w:t>负责结算，乙方开具合同总</w:t>
      </w:r>
      <w:r>
        <w:rPr>
          <w:rFonts w:hint="eastAsia" w:ascii="宋体" w:hAnsi="宋体" w:cs="宋体"/>
          <w:color w:val="auto"/>
          <w:sz w:val="24"/>
          <w:szCs w:val="24"/>
          <w:lang w:val="en-US" w:eastAsia="zh-CN"/>
        </w:rPr>
        <w:t>价款</w:t>
      </w:r>
      <w:r>
        <w:rPr>
          <w:rFonts w:hint="eastAsia" w:ascii="宋体" w:hAnsi="宋体" w:cs="宋体"/>
          <w:color w:val="auto"/>
          <w:sz w:val="24"/>
          <w:szCs w:val="24"/>
        </w:rPr>
        <w:t>的全额发票（增值税发票）交甲方。</w:t>
      </w:r>
    </w:p>
    <w:p w14:paraId="4D7F510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4、合同标的交货及安装</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、地点和条件</w:t>
      </w:r>
    </w:p>
    <w:p w14:paraId="0EF736FE">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4.1交货及安装</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w:t>
      </w:r>
      <w:r>
        <w:rPr>
          <w:rFonts w:hint="eastAsia" w:eastAsia="宋体" w:cs="宋体"/>
          <w:color w:val="auto"/>
          <w:sz w:val="24"/>
          <w:szCs w:val="24"/>
          <w:highlight w:val="none"/>
          <w:u w:val="single"/>
          <w:lang w:val="en-US" w:eastAsia="zh-CN"/>
        </w:rPr>
        <w:t>自合同签订之日15日历天完成安装调试</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BA12900">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4.2交货及安装地点：</w:t>
      </w:r>
      <w:r>
        <w:rPr>
          <w:rFonts w:hint="eastAsia" w:eastAsia="宋体" w:cs="宋体"/>
          <w:color w:val="auto"/>
          <w:sz w:val="24"/>
          <w:szCs w:val="24"/>
          <w:highlight w:val="none"/>
          <w:u w:val="single"/>
          <w:lang w:val="en-US" w:eastAsia="zh-CN"/>
        </w:rPr>
        <w:t>汉中市勉县</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DC4E0A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4.3交付条件：</w:t>
      </w:r>
      <w:r>
        <w:rPr>
          <w:rFonts w:hint="eastAsia" w:eastAsia="宋体" w:cs="宋体"/>
          <w:color w:val="auto"/>
          <w:sz w:val="24"/>
          <w:szCs w:val="24"/>
          <w:highlight w:val="none"/>
          <w:u w:val="single"/>
          <w:lang w:val="en-US" w:eastAsia="zh-CN"/>
        </w:rPr>
        <w:t xml:space="preserve">     满足招标文件要求          </w:t>
      </w:r>
      <w:r>
        <w:rPr>
          <w:rFonts w:hint="eastAsia" w:ascii="宋体" w:hAnsi="宋体" w:eastAsia="宋体" w:cs="宋体"/>
          <w:color w:val="auto"/>
          <w:sz w:val="24"/>
          <w:szCs w:val="24"/>
          <w:highlight w:val="none"/>
        </w:rPr>
        <w:t>；</w:t>
      </w:r>
    </w:p>
    <w:p w14:paraId="3D214EAF">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5、合同标的应符合招标文件、乙方投标文件的规定或约定，具体如下：</w:t>
      </w:r>
    </w:p>
    <w:p w14:paraId="476577E4">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3E5741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6、验收</w:t>
      </w:r>
    </w:p>
    <w:p w14:paraId="17B0867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6.1验收应按照招标文件、乙方投标文件的规定或约定进行，具体如下：</w:t>
      </w:r>
    </w:p>
    <w:p w14:paraId="58C4512F">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Hans"/>
        </w:rPr>
        <w:t>招标文件及投标文件</w:t>
      </w:r>
      <w:r>
        <w:rPr>
          <w:rFonts w:hint="eastAsia" w:ascii="宋体" w:hAnsi="宋体" w:eastAsia="宋体" w:cs="宋体"/>
          <w:color w:val="auto"/>
          <w:sz w:val="24"/>
          <w:szCs w:val="24"/>
          <w:highlight w:val="none"/>
        </w:rPr>
        <w:t>。</w:t>
      </w:r>
    </w:p>
    <w:p w14:paraId="7C7F78C6">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7、合同款项的支付应按照招标文件的规定进行，具体如下：</w:t>
      </w:r>
    </w:p>
    <w:p w14:paraId="40D82F4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（按照实际情况编制填写，可以是表格或文字描述，包括一次性支付或分期支付等）</w:t>
      </w:r>
      <w:r>
        <w:rPr>
          <w:rFonts w:hint="eastAsia" w:ascii="宋体" w:hAnsi="宋体" w:eastAsia="宋体" w:cs="宋体"/>
          <w:color w:val="auto"/>
          <w:sz w:val="24"/>
          <w:szCs w:val="24"/>
          <w:highlight w:val="none"/>
        </w:rPr>
        <w:t>。</w:t>
      </w:r>
    </w:p>
    <w:p w14:paraId="19717D93">
      <w:pPr>
        <w:pStyle w:val="5"/>
        <w:keepNext w:val="0"/>
        <w:keepLines w:val="0"/>
        <w:pageBreakBefore w:val="0"/>
        <w:widowControl/>
        <w:numPr>
          <w:ilvl w:val="0"/>
          <w:numId w:val="1"/>
        </w:numPr>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质保条款</w:t>
      </w:r>
    </w:p>
    <w:p w14:paraId="621502B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left="480"/>
        <w:textAlignment w:val="auto"/>
        <w:rPr>
          <w:rFonts w:hint="eastAsia" w:ascii="宋体" w:hAnsi="宋体" w:eastAsia="宋体" w:cs="宋体"/>
          <w:color w:val="auto"/>
          <w:sz w:val="24"/>
          <w:szCs w:val="24"/>
          <w:highlight w:val="none"/>
          <w:u w:val="single"/>
          <w:lang w:eastAsia="zh-Hans"/>
        </w:rPr>
      </w:pPr>
      <w:r>
        <w:rPr>
          <w:rFonts w:hint="eastAsia" w:ascii="宋体" w:hAnsi="宋体" w:eastAsia="宋体" w:cs="宋体"/>
          <w:color w:val="auto"/>
          <w:sz w:val="24"/>
          <w:szCs w:val="24"/>
          <w:highlight w:val="none"/>
          <w:lang w:eastAsia="zh-Hans"/>
        </w:rPr>
        <w:t>8.1质保金：</w:t>
      </w:r>
      <w:r>
        <w:rPr>
          <w:rFonts w:hint="eastAsia" w:ascii="宋体" w:hAnsi="宋体" w:eastAsia="宋体" w:cs="宋体"/>
          <w:color w:val="auto"/>
          <w:sz w:val="24"/>
          <w:szCs w:val="24"/>
          <w:highlight w:val="none"/>
          <w:u w:val="single"/>
          <w:lang w:eastAsia="zh-Hans"/>
        </w:rPr>
        <w:t xml:space="preserve">     </w:t>
      </w:r>
      <w:r>
        <w:rPr>
          <w:rFonts w:hint="eastAsia"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Hans"/>
        </w:rPr>
        <w:t xml:space="preserve">     。</w:t>
      </w:r>
    </w:p>
    <w:p w14:paraId="3AD43981">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960" w:firstLineChars="40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eastAsia="zh-CN"/>
        </w:rPr>
        <w:t>☑</w:t>
      </w:r>
      <w:r>
        <w:rPr>
          <w:rFonts w:hint="eastAsia" w:ascii="宋体" w:hAnsi="宋体" w:eastAsia="宋体" w:cs="宋体"/>
          <w:color w:val="auto"/>
          <w:sz w:val="24"/>
          <w:szCs w:val="24"/>
          <w:highlight w:val="none"/>
        </w:rPr>
        <w:t>无。□有，具体如下：</w:t>
      </w:r>
      <w:r>
        <w:rPr>
          <w:rFonts w:hint="eastAsia" w:ascii="宋体" w:hAnsi="宋体" w:eastAsia="宋体" w:cs="宋体"/>
          <w:color w:val="auto"/>
          <w:sz w:val="24"/>
          <w:szCs w:val="24"/>
          <w:highlight w:val="none"/>
          <w:u w:val="single"/>
        </w:rPr>
        <w:t>（</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DD5BBC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Hans"/>
        </w:rPr>
        <w:t>.2质保期：</w:t>
      </w:r>
      <w:r>
        <w:rPr>
          <w:rFonts w:hint="eastAsia" w:eastAsia="宋体" w:cs="宋体"/>
          <w:color w:val="auto"/>
          <w:sz w:val="24"/>
          <w:szCs w:val="24"/>
          <w:highlight w:val="none"/>
          <w:u w:val="single"/>
          <w:lang w:val="en-US" w:eastAsia="zh-CN"/>
        </w:rPr>
        <w:t xml:space="preserve">   自验收合格之日起1年    </w:t>
      </w:r>
      <w:r>
        <w:rPr>
          <w:rFonts w:hint="eastAsia" w:ascii="宋体" w:hAnsi="宋体" w:eastAsia="宋体" w:cs="宋体"/>
          <w:color w:val="auto"/>
          <w:sz w:val="24"/>
          <w:szCs w:val="24"/>
          <w:highlight w:val="none"/>
          <w:u w:val="single"/>
          <w:lang w:eastAsia="zh-Hans"/>
        </w:rPr>
        <w:t>。</w:t>
      </w:r>
    </w:p>
    <w:p w14:paraId="3EE7E31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9、合同有效期</w:t>
      </w:r>
    </w:p>
    <w:p w14:paraId="21D15B95">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（按照实际情况编制填写，可以是表格或文字描述）</w:t>
      </w:r>
      <w:r>
        <w:rPr>
          <w:rFonts w:hint="eastAsia" w:ascii="宋体" w:hAnsi="宋体" w:eastAsia="宋体" w:cs="宋体"/>
          <w:color w:val="auto"/>
          <w:sz w:val="24"/>
          <w:szCs w:val="24"/>
          <w:highlight w:val="none"/>
        </w:rPr>
        <w:t>。</w:t>
      </w:r>
    </w:p>
    <w:p w14:paraId="39DA8AB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10、违约责任</w:t>
      </w:r>
    </w:p>
    <w:p w14:paraId="4FCABDF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ascii="宋体" w:hAnsi="宋体" w:eastAsia="宋体" w:cs="宋体"/>
          <w:color w:val="auto"/>
          <w:sz w:val="24"/>
          <w:szCs w:val="24"/>
          <w:highlight w:val="none"/>
          <w:lang w:val="en-US" w:eastAsia="zh-CN"/>
        </w:rPr>
        <w:t>中华人民共和国民法典</w:t>
      </w:r>
      <w:r>
        <w:rPr>
          <w:rFonts w:hint="eastAsia" w:ascii="宋体" w:hAnsi="宋体" w:eastAsia="宋体" w:cs="宋体"/>
          <w:color w:val="auto"/>
          <w:sz w:val="24"/>
          <w:szCs w:val="24"/>
          <w:highlight w:val="none"/>
        </w:rPr>
        <w:t>》中的相关条款执行。</w:t>
      </w:r>
    </w:p>
    <w:p w14:paraId="60750996">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43EE7BC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w:t>
      </w:r>
      <w:r>
        <w:rPr>
          <w:rFonts w:hint="eastAsia" w:ascii="宋体" w:hAnsi="宋体" w:eastAsia="宋体" w:cs="宋体"/>
          <w:color w:val="auto"/>
          <w:sz w:val="24"/>
          <w:szCs w:val="24"/>
          <w:highlight w:val="none"/>
          <w:lang w:eastAsia="zh-CN"/>
        </w:rPr>
        <w:t>延迟交货期</w:t>
      </w:r>
      <w:r>
        <w:rPr>
          <w:rFonts w:hint="eastAsia" w:ascii="宋体" w:hAnsi="宋体" w:eastAsia="宋体" w:cs="宋体"/>
          <w:color w:val="auto"/>
          <w:sz w:val="24"/>
          <w:szCs w:val="24"/>
          <w:highlight w:val="none"/>
        </w:rPr>
        <w:t>，将按违约终止合同。</w:t>
      </w:r>
    </w:p>
    <w:p w14:paraId="026B60E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w:t>
      </w:r>
      <w:r>
        <w:rPr>
          <w:rFonts w:hint="eastAsia" w:ascii="宋体" w:hAnsi="宋体" w:eastAsia="宋体" w:cs="宋体"/>
          <w:color w:val="auto"/>
          <w:sz w:val="24"/>
          <w:szCs w:val="24"/>
          <w:highlight w:val="none"/>
          <w:lang w:eastAsia="zh-CN"/>
        </w:rPr>
        <w:t>交货期</w:t>
      </w:r>
      <w:r>
        <w:rPr>
          <w:rFonts w:hint="eastAsia" w:ascii="宋体" w:hAnsi="宋体" w:eastAsia="宋体" w:cs="宋体"/>
          <w:color w:val="auto"/>
          <w:sz w:val="24"/>
          <w:szCs w:val="24"/>
          <w:highlight w:val="none"/>
        </w:rPr>
        <w:t>的情况，应及时以书面形式将拖延的事实，可能拖延的期限和理由通知甲方。甲方在收到乙方通知后，应尽快对情况进行评价，并确定是否通过修改合同，酌情延长</w:t>
      </w:r>
      <w:r>
        <w:rPr>
          <w:rFonts w:hint="eastAsia" w:ascii="宋体" w:hAnsi="宋体" w:eastAsia="宋体" w:cs="宋体"/>
          <w:color w:val="auto"/>
          <w:sz w:val="24"/>
          <w:szCs w:val="24"/>
          <w:highlight w:val="none"/>
          <w:lang w:eastAsia="zh-CN"/>
        </w:rPr>
        <w:t>交货期</w:t>
      </w:r>
      <w:r>
        <w:rPr>
          <w:rFonts w:hint="eastAsia" w:ascii="宋体" w:hAnsi="宋体" w:eastAsia="宋体" w:cs="宋体"/>
          <w:color w:val="auto"/>
          <w:sz w:val="24"/>
          <w:szCs w:val="24"/>
          <w:highlight w:val="none"/>
        </w:rPr>
        <w:t>或对乙方加收误期赔偿金。每延误一周的赔偿费按</w:t>
      </w:r>
      <w:r>
        <w:rPr>
          <w:rFonts w:hint="eastAsia" w:ascii="宋体" w:hAnsi="宋体" w:eastAsia="宋体" w:cs="宋体"/>
          <w:color w:val="auto"/>
          <w:sz w:val="24"/>
          <w:szCs w:val="24"/>
          <w:highlight w:val="none"/>
          <w:lang w:eastAsia="zh-CN"/>
        </w:rPr>
        <w:t>合同价格</w:t>
      </w:r>
      <w:r>
        <w:rPr>
          <w:rFonts w:hint="eastAsia" w:ascii="宋体" w:hAnsi="宋体" w:eastAsia="宋体" w:cs="宋体"/>
          <w:color w:val="auto"/>
          <w:sz w:val="24"/>
          <w:szCs w:val="24"/>
          <w:highlight w:val="none"/>
        </w:rPr>
        <w:t>的百分之零点五（0.5%）计收，直至</w:t>
      </w:r>
      <w:r>
        <w:rPr>
          <w:rFonts w:hint="eastAsia" w:ascii="宋体" w:hAnsi="宋体" w:eastAsia="宋体" w:cs="宋体"/>
          <w:color w:val="auto"/>
          <w:sz w:val="24"/>
          <w:szCs w:val="24"/>
          <w:highlight w:val="none"/>
          <w:lang w:eastAsia="zh-CN"/>
        </w:rPr>
        <w:t>完成</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为止。误期赔偿费的最高限额为合同价格的百分之五（5%）。一旦达到误期赔偿费的最高限额，甲方可终止合同。</w:t>
      </w:r>
    </w:p>
    <w:p w14:paraId="0D8CB53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3、违约终止合同：乙方未按合同要求</w:t>
      </w:r>
      <w:r>
        <w:rPr>
          <w:rFonts w:hint="eastAsia" w:ascii="宋体" w:hAnsi="宋体" w:eastAsia="宋体" w:cs="宋体"/>
          <w:color w:val="auto"/>
          <w:sz w:val="24"/>
          <w:szCs w:val="24"/>
          <w:highlight w:val="none"/>
          <w:lang w:eastAsia="zh-CN"/>
        </w:rPr>
        <w:t>完成本项目产品供应，或提供的产品</w:t>
      </w:r>
      <w:r>
        <w:rPr>
          <w:rFonts w:hint="eastAsia" w:ascii="宋体" w:hAnsi="宋体" w:eastAsia="宋体" w:cs="宋体"/>
          <w:color w:val="auto"/>
          <w:sz w:val="24"/>
          <w:szCs w:val="24"/>
          <w:highlight w:val="none"/>
        </w:rPr>
        <w:t>不能满足技术要求，甲方会同监督机构有权终止合同，对乙方违约行为进行追究，同时按政府采购法的有关规定进行相应的处罚。</w:t>
      </w:r>
    </w:p>
    <w:p w14:paraId="64857B67">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11、知识产权</w:t>
      </w:r>
    </w:p>
    <w:p w14:paraId="4FD9A370">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4125AC61">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3E87CFC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12、解决争议的方法</w:t>
      </w:r>
    </w:p>
    <w:p w14:paraId="15452060">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12.1甲、乙双方协商解决。</w:t>
      </w:r>
    </w:p>
    <w:p w14:paraId="6C012594">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12.2若协商解决不成，则通过下列途径之一解决：</w:t>
      </w:r>
    </w:p>
    <w:p w14:paraId="79786FEC">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□提交仲裁委员会仲裁，具体如下：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41D5C71F">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□向人民法院提起诉讼，具体如下：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50E9438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13、不可抗力</w:t>
      </w:r>
    </w:p>
    <w:p w14:paraId="54644777">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45D28EC4">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14:paraId="19812DE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14、合同条款</w:t>
      </w:r>
    </w:p>
    <w:p w14:paraId="119D5565">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（按照实际情况编制填写。招标文件第</w:t>
      </w:r>
      <w:r>
        <w:rPr>
          <w:rFonts w:hint="eastAsia" w:cs="宋体"/>
          <w:color w:val="auto"/>
          <w:sz w:val="24"/>
          <w:szCs w:val="24"/>
          <w:highlight w:val="none"/>
          <w:u w:val="single"/>
          <w:lang w:val="en-US" w:eastAsia="zh-CN"/>
        </w:rPr>
        <w:t>三</w:t>
      </w:r>
      <w:r>
        <w:rPr>
          <w:rFonts w:hint="eastAsia" w:ascii="宋体" w:hAnsi="宋体" w:eastAsia="宋体" w:cs="宋体"/>
          <w:color w:val="auto"/>
          <w:sz w:val="24"/>
          <w:szCs w:val="24"/>
          <w:highlight w:val="none"/>
          <w:u w:val="single"/>
        </w:rPr>
        <w:t>章已有规定的，双方均不得变更或调整；招标文件第</w:t>
      </w:r>
      <w:r>
        <w:rPr>
          <w:rFonts w:hint="eastAsia" w:cs="宋体"/>
          <w:color w:val="auto"/>
          <w:sz w:val="24"/>
          <w:szCs w:val="24"/>
          <w:highlight w:val="none"/>
          <w:u w:val="single"/>
          <w:lang w:val="en-US" w:eastAsia="zh-CN"/>
        </w:rPr>
        <w:t>三</w:t>
      </w:r>
      <w:r>
        <w:rPr>
          <w:rFonts w:hint="eastAsia" w:ascii="宋体" w:hAnsi="宋体" w:eastAsia="宋体" w:cs="宋体"/>
          <w:color w:val="auto"/>
          <w:sz w:val="24"/>
          <w:szCs w:val="24"/>
          <w:highlight w:val="none"/>
          <w:u w:val="single"/>
        </w:rPr>
        <w:t>章未作规定的，双方可通过友好协商进行约定）</w:t>
      </w:r>
      <w:r>
        <w:rPr>
          <w:rFonts w:hint="eastAsia" w:ascii="宋体" w:hAnsi="宋体" w:eastAsia="宋体" w:cs="宋体"/>
          <w:color w:val="auto"/>
          <w:sz w:val="24"/>
          <w:szCs w:val="24"/>
          <w:highlight w:val="none"/>
        </w:rPr>
        <w:t>。</w:t>
      </w:r>
    </w:p>
    <w:p w14:paraId="6002F7BA">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15、其他约定</w:t>
      </w:r>
    </w:p>
    <w:p w14:paraId="436DBBAD">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15.1合同文件与本合同具有同等法律效力。</w:t>
      </w:r>
    </w:p>
    <w:p w14:paraId="490F5C5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15.2本合同未尽事宜，双方可另行补充。</w:t>
      </w:r>
    </w:p>
    <w:p w14:paraId="29F439C2">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15.3合同生效：自签订之日起生效；</w:t>
      </w:r>
      <w:bookmarkStart w:id="0" w:name="_GoBack"/>
      <w:bookmarkEnd w:id="0"/>
    </w:p>
    <w:p w14:paraId="241E66B8">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15.4本合同一式</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份，经双方授权代表签字并盖章后生效。甲方、乙方各执</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u w:val="single"/>
        </w:rPr>
        <w:t>（填写需要备案的监管部门的全称）</w:t>
      </w:r>
      <w:r>
        <w:rPr>
          <w:rFonts w:hint="eastAsia" w:ascii="宋体" w:hAnsi="宋体" w:eastAsia="宋体" w:cs="宋体"/>
          <w:color w:val="auto"/>
          <w:sz w:val="24"/>
          <w:szCs w:val="24"/>
          <w:highlight w:val="none"/>
        </w:rPr>
        <w:t>备案</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份，具有同等效力。</w:t>
      </w:r>
    </w:p>
    <w:p w14:paraId="688C91ED">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15.5其他：□无。□</w:t>
      </w:r>
      <w:r>
        <w:rPr>
          <w:rFonts w:hint="eastAsia" w:ascii="宋体" w:hAnsi="宋体" w:eastAsia="宋体" w:cs="宋体"/>
          <w:color w:val="auto"/>
          <w:sz w:val="24"/>
          <w:szCs w:val="24"/>
          <w:highlight w:val="none"/>
          <w:u w:val="single"/>
        </w:rPr>
        <w:t>（按照实际情况编制填写需要增加的内容）</w:t>
      </w:r>
      <w:r>
        <w:rPr>
          <w:rFonts w:hint="eastAsia" w:ascii="宋体" w:hAnsi="宋体" w:eastAsia="宋体" w:cs="宋体"/>
          <w:color w:val="auto"/>
          <w:sz w:val="24"/>
          <w:szCs w:val="24"/>
          <w:highlight w:val="none"/>
        </w:rPr>
        <w:t>。</w:t>
      </w:r>
    </w:p>
    <w:p w14:paraId="46F2315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1534CF0">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7C1DBEC5">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260BD717">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p>
    <w:p w14:paraId="0D15EBAF">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住所：</w:t>
      </w:r>
    </w:p>
    <w:p w14:paraId="72F51EDB">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单位负责人：</w:t>
      </w:r>
    </w:p>
    <w:p w14:paraId="77BAB9E1">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341EA7E1">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w:t>
      </w:r>
    </w:p>
    <w:p w14:paraId="309494BE">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14B60496">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联系方法：</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联系方法：</w:t>
      </w:r>
    </w:p>
    <w:p w14:paraId="258B0A04">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62CA803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账号：</w:t>
      </w:r>
    </w:p>
    <w:p w14:paraId="30CCB1B2">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379E5264">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312680BB">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4CFE6443">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签订地点：</w:t>
      </w:r>
      <w:r>
        <w:rPr>
          <w:rFonts w:hint="eastAsia" w:eastAsia="宋体" w:cs="宋体"/>
          <w:color w:val="auto"/>
          <w:sz w:val="24"/>
          <w:szCs w:val="24"/>
          <w:highlight w:val="none"/>
          <w:u w:val="single"/>
          <w:lang w:val="en-US" w:eastAsia="zh-CN"/>
        </w:rPr>
        <w:t xml:space="preserve">                             </w:t>
      </w:r>
    </w:p>
    <w:p w14:paraId="51227289">
      <w:pPr>
        <w:pStyle w:val="5"/>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DFCFB52">
      <w:pPr>
        <w:pStyle w:val="9"/>
        <w:rPr>
          <w:rFonts w:hint="eastAsia"/>
          <w:color w:val="auto"/>
          <w:lang w:val="en-US" w:eastAsia="zh-Hans"/>
        </w:rPr>
      </w:pPr>
    </w:p>
    <w:p w14:paraId="17C1D399">
      <w:pPr>
        <w:pStyle w:val="9"/>
        <w:rPr>
          <w:rFonts w:hint="eastAsia"/>
          <w:lang w:val="en-US" w:eastAsia="zh-Hans"/>
        </w:rPr>
      </w:pPr>
    </w:p>
    <w:p w14:paraId="228F5D32">
      <w:pPr>
        <w:pStyle w:val="9"/>
        <w:rPr>
          <w:rFonts w:hint="eastAsia"/>
          <w:color w:val="auto"/>
          <w:lang w:val="en-US" w:eastAsia="zh-Hans"/>
        </w:rPr>
      </w:pPr>
    </w:p>
    <w:p w14:paraId="2130F0A1">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50CFF"/>
    <w:multiLevelType w:val="singleLevel"/>
    <w:tmpl w:val="62450CF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E9366F"/>
    <w:rsid w:val="3D6357AC"/>
    <w:rsid w:val="52937F22"/>
    <w:rsid w:val="645273C0"/>
    <w:rsid w:val="6B864BCC"/>
    <w:rsid w:val="77FA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20" w:firstLineChars="200"/>
    </w:pPr>
    <w:rPr>
      <w:rFonts w:ascii="宋体" w:hAnsi="宋体" w:eastAsia="宋体" w:cs="宋体"/>
      <w:color w:val="00B05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32"/>
      <w:szCs w:val="21"/>
      <w:lang w:eastAsia="en-US"/>
    </w:rPr>
  </w:style>
  <w:style w:type="paragraph" w:styleId="3">
    <w:name w:val="heading 2"/>
    <w:basedOn w:val="1"/>
    <w:next w:val="1"/>
    <w:semiHidden/>
    <w:unhideWhenUsed/>
    <w:qFormat/>
    <w:uiPriority w:val="0"/>
    <w:pPr>
      <w:keepNext/>
      <w:keepLines/>
      <w:widowControl/>
      <w:spacing w:before="20" w:after="20" w:line="480" w:lineRule="auto"/>
      <w:ind w:left="284"/>
      <w:jc w:val="left"/>
      <w:outlineLvl w:val="1"/>
    </w:pPr>
    <w:rPr>
      <w:rFonts w:ascii="Arial" w:hAnsi="Arial" w:eastAsia="宋体" w:cs="Times New Roman"/>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idowControl/>
      <w:jc w:val="left"/>
    </w:pPr>
    <w:rPr>
      <w:kern w:val="0"/>
      <w:sz w:val="24"/>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character" w:styleId="8">
    <w:name w:val="Strong"/>
    <w:basedOn w:val="7"/>
    <w:qFormat/>
    <w:uiPriority w:val="0"/>
    <w:rPr>
      <w:b/>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2163</Words>
  <Characters>2246</Characters>
  <Lines>0</Lines>
  <Paragraphs>0</Paragraphs>
  <TotalTime>0</TotalTime>
  <ScaleCrop>false</ScaleCrop>
  <LinksUpToDate>false</LinksUpToDate>
  <CharactersWithSpaces>2487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2024-10-17T06:33:00Z</dcterms:created>
  <dc:creator>admin</dc:creator>
  <cp:lastModifiedBy>acer</cp:lastModifiedBy>
  <dcterms:modified xsi:type="dcterms:W3CDTF">2025-08-14T02:19:14Z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6BD806A41A56471CB4634E8433570C89_12</vt:lpwstr>
  </property>
  <property fmtid="{D5CDD505-2E9C-101B-9397-08002B2CF9AE}" pid="4" name="KSOTemplateDocerSaveRecord">
    <vt:lpwstr>eyJoZGlkIjoiZTFmMTY0YWMzYTQ1NTA1ODUzODIxMmUwN2MzOTU3NzAiLCJ1c2VySWQiOiIyNDc5ODM4ODIifQ==</vt:lpwstr>
  </property>
</Properties>
</file>