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版本号：ZC2025-HW-12120250818002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省级垃圾分类试点县垃圾分类收集设施</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ZC2025-HW-121</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省级垃圾分类试点县垃圾分类收集设施</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ZC2025-HW-121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省级垃圾分类试点县垃圾分类收集设施</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省级垃圾分类试点县垃圾分类收集设施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采购包1（级垃圾分类试点县垃圾分类收集设施）：属于专门面向中小企业采购。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1、营业执照或其他证明资料：供应商应为具有独立承担民事责任的能力且具备向采购人提供相关服务的企业法人、事业法人、其他组织或自然人，企业法人应提供具有 统一社会信用代码的营业执照等证明文件；事业法人应提供事业单位法人证等证明文件；其他组织应提供合法证明文件； 自然人提供身份证明文件；</w:t>
      </w:r>
    </w:p>
    <w:p>
      <w:pPr>
        <w:pStyle w:val="null3"/>
      </w:pPr>
      <w:r>
        <w:rPr>
          <w:rFonts w:ascii="仿宋_GB2312" w:hAnsi="仿宋_GB2312" w:cs="仿宋_GB2312" w:eastAsia="仿宋_GB2312"/>
        </w:rPr>
        <w:t>2、企业信用：供应商不得为“信用中国” 网站（www.creditchi na.gov.cn）中列入重大税收违法失信主体的供 应商；不得为“ 中国执行信息公开网”（http://z xgk.court.gov.cn）中列入失信被执行人名单 的供应商；不得为“ 中国政府采购网”（www.cc gp.gov.cn）政府采购严重违法失信行为记录名 单中被财政部门禁止参加政府采购活动的供应商； （注：以投标文件中提供的承诺书为准）</w:t>
      </w:r>
    </w:p>
    <w:p>
      <w:pPr>
        <w:pStyle w:val="null3"/>
      </w:pPr>
      <w:r>
        <w:rPr>
          <w:rFonts w:ascii="仿宋_GB2312" w:hAnsi="仿宋_GB2312" w:cs="仿宋_GB2312" w:eastAsia="仿宋_GB2312"/>
        </w:rPr>
        <w:t>3、非联合体投标：本项目不接受联合体投标； （注：以投标文件中提供的声明为准）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0916-3222900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张艳、毛鑫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说明：合同签订后，乙方向甲方支付合同总价10%的履约担保。</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180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代理服务费收费标准：代理服务费以中标金额为基数，参照《国家计委关于印发&lt;招标代理服务 收费管理暂行办法&gt;的通知》（计价格[2002]1980号）规定的货物类标准以差额定率累进制计算收取，由中标人在领取中标通知书前一次性足额支付给采购代理机构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1、甲方须在乙方提出书面验收申请之日起10日内，组织验收工作。验收由甲方指定单位及人员进行验收，验收合格后出具书面验收合格证明，作为对产品的最终认可。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联系人：毛鑫、张艳</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省级垃圾分类试点县垃圾分类收集设施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垃圾分类收集设施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标的名称：垃圾分类收集设施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color w:val="0000FF"/>
              </w:rPr>
              <w:t>一、项目概况：</w:t>
            </w:r>
          </w:p>
          <w:p>
            <w:pPr>
              <w:pStyle w:val="null3"/>
              <w:ind w:firstLine="420"/>
            </w:pPr>
            <w:r>
              <w:rPr>
                <w:rFonts w:ascii="仿宋_GB2312" w:hAnsi="仿宋_GB2312" w:cs="仿宋_GB2312" w:eastAsia="仿宋_GB2312"/>
                <w:sz w:val="21"/>
                <w:color w:val="0000FF"/>
              </w:rPr>
              <w:t>省级垃圾分类试点县垃圾分类收集设施</w:t>
            </w:r>
          </w:p>
          <w:p>
            <w:pPr>
              <w:pStyle w:val="null3"/>
            </w:pPr>
            <w:r>
              <w:rPr>
                <w:rFonts w:ascii="仿宋_GB2312" w:hAnsi="仿宋_GB2312" w:cs="仿宋_GB2312" w:eastAsia="仿宋_GB2312"/>
                <w:sz w:val="21"/>
                <w:b/>
                <w:color w:val="0000FF"/>
              </w:rPr>
              <w:t>二、采购清单：</w:t>
            </w:r>
          </w:p>
          <w:tbl>
            <w:tblPr>
              <w:tblInd w:type="dxa" w:w="120"/>
              <w:tblBorders>
                <w:top w:val="none" w:color="000000" w:sz="4"/>
                <w:left w:val="none" w:color="000000" w:sz="4"/>
                <w:bottom w:val="none" w:color="000000" w:sz="4"/>
                <w:right w:val="none" w:color="000000" w:sz="4"/>
                <w:insideH w:val="none"/>
                <w:insideV w:val="none"/>
              </w:tblBorders>
            </w:tblPr>
            <w:tblGrid>
              <w:gridCol w:w="261"/>
              <w:gridCol w:w="468"/>
              <w:gridCol w:w="327"/>
              <w:gridCol w:w="1496"/>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序号</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名称</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数量</w:t>
                  </w:r>
                </w:p>
              </w:tc>
              <w:tc>
                <w:tcPr>
                  <w:tcW w:type="dxa" w:w="1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技术参数及要求</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垃圾分类收集环保吧</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1个</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1.采用双坡屋面，整体效果现代简洁；</w:t>
                  </w:r>
                  <w:r>
                    <w:rPr>
                      <w:rFonts w:ascii="仿宋_GB2312" w:hAnsi="仿宋_GB2312" w:cs="仿宋_GB2312" w:eastAsia="仿宋_GB2312"/>
                      <w:sz w:val="21"/>
                      <w:color w:val="0000FF"/>
                    </w:rPr>
                    <w:t>规格：</w:t>
                  </w:r>
                  <w:r>
                    <w:rPr>
                      <w:rFonts w:ascii="仿宋_GB2312" w:hAnsi="仿宋_GB2312" w:cs="仿宋_GB2312" w:eastAsia="仿宋_GB2312"/>
                      <w:sz w:val="21"/>
                      <w:color w:val="0000FF"/>
                    </w:rPr>
                    <w:t>L6600*W3500*H3200mm (±3%)。</w:t>
                  </w:r>
                </w:p>
                <w:p>
                  <w:pPr>
                    <w:pStyle w:val="null3"/>
                    <w:spacing w:after="120"/>
                    <w:jc w:val="left"/>
                  </w:pPr>
                  <w:r>
                    <w:rPr>
                      <w:rFonts w:ascii="仿宋_GB2312" w:hAnsi="仿宋_GB2312" w:cs="仿宋_GB2312" w:eastAsia="仿宋_GB2312"/>
                      <w:sz w:val="21"/>
                      <w:color w:val="0000FF"/>
                    </w:rPr>
                    <w:t>2.投口适用于国标240L塑料垃圾桶。配置智能积分兑换系统及设备，侧边有毒有害投放箱；</w:t>
                  </w:r>
                </w:p>
                <w:p>
                  <w:pPr>
                    <w:pStyle w:val="null3"/>
                    <w:spacing w:after="120"/>
                    <w:jc w:val="left"/>
                  </w:pPr>
                  <w:r>
                    <w:rPr>
                      <w:rFonts w:ascii="仿宋_GB2312" w:hAnsi="仿宋_GB2312" w:cs="仿宋_GB2312" w:eastAsia="仿宋_GB2312"/>
                      <w:sz w:val="21"/>
                      <w:color w:val="0000FF"/>
                    </w:rPr>
                    <w:t>3.主体龙骨采用≥80*80镀锌管材，辅助骨架采用≥40*60管材焊接；</w:t>
                  </w:r>
                </w:p>
                <w:p>
                  <w:pPr>
                    <w:pStyle w:val="null3"/>
                    <w:spacing w:after="120"/>
                    <w:jc w:val="left"/>
                  </w:pPr>
                  <w:r>
                    <w:rPr>
                      <w:rFonts w:ascii="仿宋_GB2312" w:hAnsi="仿宋_GB2312" w:cs="仿宋_GB2312" w:eastAsia="仿宋_GB2312"/>
                      <w:sz w:val="21"/>
                      <w:color w:val="0000FF"/>
                    </w:rPr>
                    <w:t>4.屋顶铺设防水沥青瓦；</w:t>
                  </w:r>
                </w:p>
                <w:p>
                  <w:pPr>
                    <w:pStyle w:val="null3"/>
                    <w:spacing w:after="120"/>
                    <w:jc w:val="left"/>
                  </w:pPr>
                  <w:r>
                    <w:rPr>
                      <w:rFonts w:ascii="仿宋_GB2312" w:hAnsi="仿宋_GB2312" w:cs="仿宋_GB2312" w:eastAsia="仿宋_GB2312"/>
                      <w:sz w:val="21"/>
                      <w:color w:val="0000FF"/>
                    </w:rPr>
                    <w:t>5.内墙面采用医用级净化板；</w:t>
                  </w:r>
                </w:p>
                <w:p>
                  <w:pPr>
                    <w:pStyle w:val="null3"/>
                    <w:spacing w:after="120"/>
                    <w:jc w:val="left"/>
                  </w:pPr>
                  <w:r>
                    <w:rPr>
                      <w:rFonts w:ascii="仿宋_GB2312" w:hAnsi="仿宋_GB2312" w:cs="仿宋_GB2312" w:eastAsia="仿宋_GB2312"/>
                      <w:sz w:val="21"/>
                      <w:color w:val="0000FF"/>
                    </w:rPr>
                    <w:t>6.外墙面≥15mm厚度金属雕花板；</w:t>
                  </w:r>
                </w:p>
                <w:p>
                  <w:pPr>
                    <w:pStyle w:val="null3"/>
                    <w:spacing w:after="120"/>
                    <w:jc w:val="left"/>
                  </w:pPr>
                  <w:r>
                    <w:rPr>
                      <w:rFonts w:ascii="仿宋_GB2312" w:hAnsi="仿宋_GB2312" w:cs="仿宋_GB2312" w:eastAsia="仿宋_GB2312"/>
                      <w:sz w:val="21"/>
                      <w:color w:val="0000FF"/>
                    </w:rPr>
                    <w:t>7.吊顶PVC集成吊顶；</w:t>
                  </w:r>
                </w:p>
                <w:p>
                  <w:pPr>
                    <w:pStyle w:val="null3"/>
                    <w:spacing w:after="120"/>
                    <w:jc w:val="left"/>
                  </w:pPr>
                  <w:r>
                    <w:rPr>
                      <w:rFonts w:ascii="仿宋_GB2312" w:hAnsi="仿宋_GB2312" w:cs="仿宋_GB2312" w:eastAsia="仿宋_GB2312"/>
                      <w:sz w:val="21"/>
                      <w:color w:val="0000FF"/>
                    </w:rPr>
                    <w:t>8.地面地板：复合地板、室内配置木质货架；</w:t>
                  </w:r>
                </w:p>
                <w:p>
                  <w:pPr>
                    <w:pStyle w:val="null3"/>
                    <w:spacing w:after="120"/>
                    <w:jc w:val="left"/>
                  </w:pPr>
                  <w:r>
                    <w:rPr>
                      <w:rFonts w:ascii="仿宋_GB2312" w:hAnsi="仿宋_GB2312" w:cs="仿宋_GB2312" w:eastAsia="仿宋_GB2312"/>
                      <w:sz w:val="21"/>
                      <w:color w:val="0000FF"/>
                    </w:rPr>
                    <w:t>9.室外配置遮阳雨篷。</w:t>
                  </w:r>
                </w:p>
                <w:p>
                  <w:pPr>
                    <w:pStyle w:val="null3"/>
                    <w:spacing w:after="120"/>
                    <w:jc w:val="left"/>
                  </w:pPr>
                  <w:r>
                    <w:rPr>
                      <w:rFonts w:ascii="仿宋_GB2312" w:hAnsi="仿宋_GB2312" w:cs="仿宋_GB2312" w:eastAsia="仿宋_GB2312"/>
                      <w:sz w:val="21"/>
                      <w:color w:val="0000FF"/>
                    </w:rPr>
                    <w:t>10.含监控系统须联网，液晶显示屏LED≥65寸宣传屏及室内配置电脑、配置音助及摄像头（不低于 400 万像素，具备夜视功能），存储时间≥7天；</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垃圾分类收集亭</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40个</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1.长*宽*高：L5800mm*W1500mm*H2600mm(±3%)；</w:t>
                  </w:r>
                </w:p>
                <w:p>
                  <w:pPr>
                    <w:pStyle w:val="null3"/>
                    <w:spacing w:after="120"/>
                    <w:jc w:val="left"/>
                  </w:pPr>
                  <w:r>
                    <w:rPr>
                      <w:rFonts w:ascii="仿宋_GB2312" w:hAnsi="仿宋_GB2312" w:cs="仿宋_GB2312" w:eastAsia="仿宋_GB2312"/>
                      <w:sz w:val="21"/>
                      <w:color w:val="0000FF"/>
                    </w:rPr>
                    <w:t>2.主立柱材质：≥ 100*100*3mm镀锌方管；</w:t>
                  </w:r>
                </w:p>
                <w:p>
                  <w:pPr>
                    <w:pStyle w:val="null3"/>
                    <w:spacing w:after="120"/>
                    <w:jc w:val="left"/>
                  </w:pPr>
                  <w:r>
                    <w:rPr>
                      <w:rFonts w:ascii="仿宋_GB2312" w:hAnsi="仿宋_GB2312" w:cs="仿宋_GB2312" w:eastAsia="仿宋_GB2312"/>
                      <w:sz w:val="21"/>
                      <w:color w:val="0000FF"/>
                    </w:rPr>
                    <w:t>3.顶棚框架采用：≥80*80*3mm镀锌方管；</w:t>
                  </w:r>
                </w:p>
                <w:p>
                  <w:pPr>
                    <w:pStyle w:val="null3"/>
                    <w:spacing w:after="120"/>
                    <w:jc w:val="left"/>
                  </w:pPr>
                  <w:r>
                    <w:rPr>
                      <w:rFonts w:ascii="仿宋_GB2312" w:hAnsi="仿宋_GB2312" w:cs="仿宋_GB2312" w:eastAsia="仿宋_GB2312"/>
                      <w:sz w:val="21"/>
                      <w:color w:val="0000FF"/>
                    </w:rPr>
                    <w:t>4.顶棚面板采用镀锌板或者阳光板；</w:t>
                  </w:r>
                </w:p>
                <w:p>
                  <w:pPr>
                    <w:pStyle w:val="null3"/>
                    <w:spacing w:after="120"/>
                    <w:jc w:val="left"/>
                  </w:pPr>
                  <w:r>
                    <w:rPr>
                      <w:rFonts w:ascii="仿宋_GB2312" w:hAnsi="仿宋_GB2312" w:cs="仿宋_GB2312" w:eastAsia="仿宋_GB2312"/>
                      <w:sz w:val="21"/>
                      <w:color w:val="0000FF"/>
                    </w:rPr>
                    <w:t>5.贴画背板采用≥2mm厚度镀锌板；</w:t>
                  </w:r>
                </w:p>
                <w:p>
                  <w:pPr>
                    <w:pStyle w:val="null3"/>
                    <w:spacing w:after="120"/>
                    <w:jc w:val="left"/>
                  </w:pPr>
                  <w:r>
                    <w:rPr>
                      <w:rFonts w:ascii="仿宋_GB2312" w:hAnsi="仿宋_GB2312" w:cs="仿宋_GB2312" w:eastAsia="仿宋_GB2312"/>
                      <w:sz w:val="21"/>
                      <w:color w:val="0000FF"/>
                    </w:rPr>
                    <w:t>6.画面材质：≥1公分PVCUV；</w:t>
                  </w:r>
                </w:p>
                <w:p>
                  <w:pPr>
                    <w:pStyle w:val="null3"/>
                    <w:spacing w:after="120"/>
                    <w:jc w:val="left"/>
                  </w:pPr>
                  <w:r>
                    <w:rPr>
                      <w:rFonts w:ascii="仿宋_GB2312" w:hAnsi="仿宋_GB2312" w:cs="仿宋_GB2312" w:eastAsia="仿宋_GB2312"/>
                      <w:sz w:val="21"/>
                      <w:color w:val="0000FF"/>
                    </w:rPr>
                    <w:t>7.喷环氧底漆 面漆为深灰色汽车烤漆，面漆层≤0.2mm；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垃圾分类收集箱</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30个</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1.外型尺寸（长*宽*高）：L2800*W780*H1600mm(±3%)，有效容积≥ 960L；</w:t>
                  </w:r>
                </w:p>
                <w:p>
                  <w:pPr>
                    <w:pStyle w:val="null3"/>
                    <w:spacing w:after="120"/>
                    <w:jc w:val="left"/>
                  </w:pPr>
                  <w:r>
                    <w:rPr>
                      <w:rFonts w:ascii="仿宋_GB2312" w:hAnsi="仿宋_GB2312" w:cs="仿宋_GB2312" w:eastAsia="仿宋_GB2312"/>
                      <w:sz w:val="21"/>
                      <w:color w:val="0000FF"/>
                    </w:rPr>
                    <w:t>2.框体采用镀锌板，厚度≥1.0mm，内部设多道加强筋与方管；</w:t>
                  </w:r>
                </w:p>
                <w:p>
                  <w:pPr>
                    <w:pStyle w:val="null3"/>
                    <w:spacing w:after="120"/>
                    <w:jc w:val="left"/>
                  </w:pPr>
                  <w:r>
                    <w:rPr>
                      <w:rFonts w:ascii="仿宋_GB2312" w:hAnsi="仿宋_GB2312" w:cs="仿宋_GB2312" w:eastAsia="仿宋_GB2312"/>
                      <w:sz w:val="21"/>
                      <w:color w:val="0000FF"/>
                    </w:rPr>
                    <w:t>3.</w:t>
                  </w:r>
                  <w:r>
                    <w:rPr>
                      <w:rFonts w:ascii="仿宋_GB2312" w:hAnsi="仿宋_GB2312" w:cs="仿宋_GB2312" w:eastAsia="仿宋_GB2312"/>
                      <w:sz w:val="21"/>
                      <w:color w:val="0000FF"/>
                    </w:rPr>
                    <w:t>内部：所有铁材质表面经过防锈处理；</w:t>
                  </w:r>
                </w:p>
                <w:p>
                  <w:pPr>
                    <w:pStyle w:val="null3"/>
                    <w:spacing w:after="120"/>
                    <w:jc w:val="left"/>
                  </w:pPr>
                  <w:r>
                    <w:rPr>
                      <w:rFonts w:ascii="仿宋_GB2312" w:hAnsi="仿宋_GB2312" w:cs="仿宋_GB2312" w:eastAsia="仿宋_GB2312"/>
                      <w:sz w:val="21"/>
                      <w:color w:val="0000FF"/>
                    </w:rPr>
                    <w:t>4.内置4个240L带轮子塑料内桶；</w:t>
                  </w:r>
                </w:p>
                <w:p>
                  <w:pPr>
                    <w:pStyle w:val="null3"/>
                    <w:spacing w:after="120"/>
                    <w:jc w:val="left"/>
                  </w:pPr>
                  <w:r>
                    <w:rPr>
                      <w:rFonts w:ascii="仿宋_GB2312" w:hAnsi="仿宋_GB2312" w:cs="仿宋_GB2312" w:eastAsia="仿宋_GB2312"/>
                      <w:sz w:val="21"/>
                      <w:color w:val="0000FF"/>
                    </w:rPr>
                    <w:t>5.投放口挡板设计，内装置液压杆；</w:t>
                  </w:r>
                </w:p>
                <w:p>
                  <w:pPr>
                    <w:pStyle w:val="null3"/>
                    <w:spacing w:after="120"/>
                    <w:jc w:val="left"/>
                  </w:pPr>
                  <w:r>
                    <w:rPr>
                      <w:rFonts w:ascii="仿宋_GB2312" w:hAnsi="仿宋_GB2312" w:cs="仿宋_GB2312" w:eastAsia="仿宋_GB2312"/>
                      <w:sz w:val="21"/>
                      <w:color w:val="0000FF"/>
                    </w:rPr>
                    <w:t>6.门板带有不锈钢拉手及通用大三角锁，门开启可以90度；</w:t>
                  </w:r>
                </w:p>
                <w:p>
                  <w:pPr>
                    <w:pStyle w:val="null3"/>
                    <w:spacing w:after="120"/>
                    <w:jc w:val="left"/>
                  </w:pPr>
                  <w:r>
                    <w:rPr>
                      <w:rFonts w:ascii="仿宋_GB2312" w:hAnsi="仿宋_GB2312" w:cs="仿宋_GB2312" w:eastAsia="仿宋_GB2312"/>
                      <w:sz w:val="21"/>
                      <w:color w:val="0000FF"/>
                    </w:rPr>
                    <w:t>7.分类收集：设置“可回收物”、“其他垃圾 “厨余垃圾”，“有害垃圾”。采用丝网印刷技术，分类标识参照《城市生活垃圾分类标志》。油墨采用抗紫外线，耐磨，夹层印刷垃圾标志，鲜艳度能保持 3 年以上。</w:t>
                  </w:r>
                </w:p>
                <w:p>
                  <w:pPr>
                    <w:pStyle w:val="null3"/>
                    <w:spacing w:after="120"/>
                    <w:jc w:val="left"/>
                  </w:pPr>
                  <w:r>
                    <w:rPr>
                      <w:rFonts w:ascii="仿宋_GB2312" w:hAnsi="仿宋_GB2312" w:cs="仿宋_GB2312" w:eastAsia="仿宋_GB2312"/>
                      <w:sz w:val="21"/>
                      <w:color w:val="0000FF"/>
                    </w:rPr>
                    <w:t>8.颜色：框架颜色磨砂黑色，后板，前门按分类颜定制,颜色为：蓝色、红色、绿色、深灰色，底座、桶身采用塑封喷涂。</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垃圾分类收集果皮箱</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300个</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规格尺寸：长</w:t>
                  </w:r>
                  <w:r>
                    <w:rPr>
                      <w:rFonts w:ascii="仿宋_GB2312" w:hAnsi="仿宋_GB2312" w:cs="仿宋_GB2312" w:eastAsia="仿宋_GB2312"/>
                      <w:sz w:val="21"/>
                      <w:color w:val="0000FF"/>
                    </w:rPr>
                    <w:t>*</w:t>
                  </w:r>
                  <w:r>
                    <w:rPr>
                      <w:rFonts w:ascii="仿宋_GB2312" w:hAnsi="仿宋_GB2312" w:cs="仿宋_GB2312" w:eastAsia="仿宋_GB2312"/>
                      <w:sz w:val="21"/>
                      <w:color w:val="0000FF"/>
                    </w:rPr>
                    <w:t>宽</w:t>
                  </w:r>
                  <w:r>
                    <w:rPr>
                      <w:rFonts w:ascii="仿宋_GB2312" w:hAnsi="仿宋_GB2312" w:cs="仿宋_GB2312" w:eastAsia="仿宋_GB2312"/>
                      <w:sz w:val="21"/>
                      <w:color w:val="0000FF"/>
                    </w:rPr>
                    <w:t>*</w:t>
                  </w:r>
                  <w:r>
                    <w:rPr>
                      <w:rFonts w:ascii="仿宋_GB2312" w:hAnsi="仿宋_GB2312" w:cs="仿宋_GB2312" w:eastAsia="仿宋_GB2312"/>
                      <w:sz w:val="21"/>
                      <w:color w:val="0000FF"/>
                    </w:rPr>
                    <w:t>高</w:t>
                  </w:r>
                  <w:r>
                    <w:rPr>
                      <w:rFonts w:ascii="仿宋_GB2312" w:hAnsi="仿宋_GB2312" w:cs="仿宋_GB2312" w:eastAsia="仿宋_GB2312"/>
                      <w:sz w:val="21"/>
                      <w:color w:val="0000FF"/>
                    </w:rPr>
                    <w:t>L</w:t>
                  </w:r>
                  <w:r>
                    <w:rPr>
                      <w:rFonts w:ascii="仿宋_GB2312" w:hAnsi="仿宋_GB2312" w:cs="仿宋_GB2312" w:eastAsia="仿宋_GB2312"/>
                      <w:sz w:val="21"/>
                      <w:color w:val="0000FF"/>
                    </w:rPr>
                    <w:t>1</w:t>
                  </w:r>
                  <w:r>
                    <w:rPr>
                      <w:rFonts w:ascii="仿宋_GB2312" w:hAnsi="仿宋_GB2312" w:cs="仿宋_GB2312" w:eastAsia="仿宋_GB2312"/>
                      <w:sz w:val="21"/>
                      <w:color w:val="0000FF"/>
                    </w:rPr>
                    <w:t>150</w:t>
                  </w:r>
                  <w:r>
                    <w:rPr>
                      <w:rFonts w:ascii="仿宋_GB2312" w:hAnsi="仿宋_GB2312" w:cs="仿宋_GB2312" w:eastAsia="仿宋_GB2312"/>
                      <w:sz w:val="21"/>
                      <w:color w:val="0000FF"/>
                    </w:rPr>
                    <w:t>mm*</w:t>
                  </w:r>
                  <w:r>
                    <w:rPr>
                      <w:rFonts w:ascii="仿宋_GB2312" w:hAnsi="仿宋_GB2312" w:cs="仿宋_GB2312" w:eastAsia="仿宋_GB2312"/>
                      <w:sz w:val="21"/>
                      <w:color w:val="0000FF"/>
                    </w:rPr>
                    <w:t>W</w:t>
                  </w:r>
                  <w:r>
                    <w:rPr>
                      <w:rFonts w:ascii="仿宋_GB2312" w:hAnsi="仿宋_GB2312" w:cs="仿宋_GB2312" w:eastAsia="仿宋_GB2312"/>
                      <w:sz w:val="21"/>
                      <w:color w:val="0000FF"/>
                    </w:rPr>
                    <w:t>3</w:t>
                  </w:r>
                  <w:r>
                    <w:rPr>
                      <w:rFonts w:ascii="仿宋_GB2312" w:hAnsi="仿宋_GB2312" w:cs="仿宋_GB2312" w:eastAsia="仿宋_GB2312"/>
                      <w:sz w:val="21"/>
                      <w:color w:val="0000FF"/>
                    </w:rPr>
                    <w:t>6</w:t>
                  </w:r>
                  <w:r>
                    <w:rPr>
                      <w:rFonts w:ascii="仿宋_GB2312" w:hAnsi="仿宋_GB2312" w:cs="仿宋_GB2312" w:eastAsia="仿宋_GB2312"/>
                      <w:sz w:val="21"/>
                      <w:color w:val="0000FF"/>
                    </w:rPr>
                    <w:t>0mm*</w:t>
                  </w:r>
                  <w:r>
                    <w:rPr>
                      <w:rFonts w:ascii="仿宋_GB2312" w:hAnsi="仿宋_GB2312" w:cs="仿宋_GB2312" w:eastAsia="仿宋_GB2312"/>
                      <w:sz w:val="21"/>
                      <w:color w:val="0000FF"/>
                    </w:rPr>
                    <w:t>H970</w:t>
                  </w:r>
                  <w:r>
                    <w:rPr>
                      <w:rFonts w:ascii="仿宋_GB2312" w:hAnsi="仿宋_GB2312" w:cs="仿宋_GB2312" w:eastAsia="仿宋_GB2312"/>
                      <w:sz w:val="21"/>
                      <w:color w:val="0000FF"/>
                    </w:rPr>
                    <w:t xml:space="preserve">mm </w:t>
                  </w:r>
                  <w:r>
                    <w:rPr>
                      <w:rFonts w:ascii="仿宋_GB2312" w:hAnsi="仿宋_GB2312" w:cs="仿宋_GB2312" w:eastAsia="仿宋_GB2312"/>
                      <w:sz w:val="21"/>
                      <w:color w:val="0000FF"/>
                    </w:rPr>
                    <w:t>(±3%)</w:t>
                  </w:r>
                </w:p>
                <w:p>
                  <w:pPr>
                    <w:pStyle w:val="null3"/>
                    <w:spacing w:after="120"/>
                    <w:jc w:val="left"/>
                  </w:pPr>
                  <w:r>
                    <w:rPr>
                      <w:rFonts w:ascii="仿宋_GB2312" w:hAnsi="仿宋_GB2312" w:cs="仿宋_GB2312" w:eastAsia="仿宋_GB2312"/>
                      <w:sz w:val="21"/>
                      <w:color w:val="0000FF"/>
                    </w:rPr>
                    <w:t>2.</w:t>
                  </w:r>
                  <w:r>
                    <w:rPr>
                      <w:rFonts w:ascii="仿宋_GB2312" w:hAnsi="仿宋_GB2312" w:cs="仿宋_GB2312" w:eastAsia="仿宋_GB2312"/>
                      <w:sz w:val="21"/>
                      <w:color w:val="0000FF"/>
                    </w:rPr>
                    <w:t>重量：整体重量</w:t>
                  </w:r>
                  <w:r>
                    <w:rPr>
                      <w:rFonts w:ascii="仿宋_GB2312" w:hAnsi="仿宋_GB2312" w:cs="仿宋_GB2312" w:eastAsia="仿宋_GB2312"/>
                      <w:sz w:val="21"/>
                      <w:color w:val="0000FF"/>
                    </w:rPr>
                    <w:t>40</w:t>
                  </w:r>
                  <w:r>
                    <w:rPr>
                      <w:rFonts w:ascii="仿宋_GB2312" w:hAnsi="仿宋_GB2312" w:cs="仿宋_GB2312" w:eastAsia="仿宋_GB2312"/>
                      <w:sz w:val="21"/>
                      <w:color w:val="0000FF"/>
                    </w:rPr>
                    <w:t>KG(±1KG）。</w:t>
                  </w:r>
                </w:p>
                <w:p>
                  <w:pPr>
                    <w:pStyle w:val="null3"/>
                    <w:spacing w:after="120"/>
                    <w:jc w:val="left"/>
                  </w:pPr>
                  <w:r>
                    <w:rPr>
                      <w:rFonts w:ascii="仿宋_GB2312" w:hAnsi="仿宋_GB2312" w:cs="仿宋_GB2312" w:eastAsia="仿宋_GB2312"/>
                      <w:sz w:val="21"/>
                      <w:color w:val="0000FF"/>
                    </w:rPr>
                    <w:t>3.</w:t>
                  </w:r>
                  <w:r>
                    <w:rPr>
                      <w:rFonts w:ascii="仿宋_GB2312" w:hAnsi="仿宋_GB2312" w:cs="仿宋_GB2312" w:eastAsia="仿宋_GB2312"/>
                      <w:sz w:val="21"/>
                      <w:color w:val="0000FF"/>
                    </w:rPr>
                    <w:t>材质要求：箱体整体采用</w:t>
                  </w:r>
                  <w:r>
                    <w:rPr>
                      <w:rFonts w:ascii="仿宋_GB2312" w:hAnsi="仿宋_GB2312" w:cs="仿宋_GB2312" w:eastAsia="仿宋_GB2312"/>
                      <w:sz w:val="21"/>
                      <w:color w:val="0000FF"/>
                    </w:rPr>
                    <w:t>≥</w:t>
                  </w:r>
                  <w:r>
                    <w:rPr>
                      <w:rFonts w:ascii="仿宋_GB2312" w:hAnsi="仿宋_GB2312" w:cs="仿宋_GB2312" w:eastAsia="仿宋_GB2312"/>
                      <w:sz w:val="21"/>
                      <w:color w:val="0000FF"/>
                    </w:rPr>
                    <w:t>1.2</w:t>
                  </w:r>
                  <w:r>
                    <w:rPr>
                      <w:rFonts w:ascii="仿宋_GB2312" w:hAnsi="仿宋_GB2312" w:cs="仿宋_GB2312" w:eastAsia="仿宋_GB2312"/>
                      <w:sz w:val="21"/>
                      <w:color w:val="0000FF"/>
                    </w:rPr>
                    <w:t>mm的</w:t>
                  </w:r>
                  <w:r>
                    <w:rPr>
                      <w:rFonts w:ascii="仿宋_GB2312" w:hAnsi="仿宋_GB2312" w:cs="仿宋_GB2312" w:eastAsia="仿宋_GB2312"/>
                      <w:sz w:val="21"/>
                      <w:color w:val="0000FF"/>
                    </w:rPr>
                    <w:t>304</w:t>
                  </w:r>
                  <w:r>
                    <w:rPr>
                      <w:rFonts w:ascii="仿宋_GB2312" w:hAnsi="仿宋_GB2312" w:cs="仿宋_GB2312" w:eastAsia="仿宋_GB2312"/>
                      <w:sz w:val="21"/>
                      <w:color w:val="0000FF"/>
                    </w:rPr>
                    <w:t>不锈钢。</w:t>
                  </w:r>
                </w:p>
                <w:p>
                  <w:pPr>
                    <w:pStyle w:val="null3"/>
                    <w:spacing w:after="120"/>
                    <w:jc w:val="left"/>
                  </w:pPr>
                  <w:r>
                    <w:rPr>
                      <w:rFonts w:ascii="仿宋_GB2312" w:hAnsi="仿宋_GB2312" w:cs="仿宋_GB2312" w:eastAsia="仿宋_GB2312"/>
                      <w:sz w:val="21"/>
                      <w:color w:val="0000FF"/>
                    </w:rPr>
                    <w:t>4.</w:t>
                  </w:r>
                  <w:r>
                    <w:rPr>
                      <w:rFonts w:ascii="仿宋_GB2312" w:hAnsi="仿宋_GB2312" w:cs="仿宋_GB2312" w:eastAsia="仿宋_GB2312"/>
                      <w:sz w:val="21"/>
                      <w:color w:val="0000FF"/>
                    </w:rPr>
                    <w:t>垃圾桶</w:t>
                  </w:r>
                  <w:r>
                    <w:rPr>
                      <w:rFonts w:ascii="仿宋_GB2312" w:hAnsi="仿宋_GB2312" w:cs="仿宋_GB2312" w:eastAsia="仿宋_GB2312"/>
                      <w:sz w:val="21"/>
                      <w:color w:val="0000FF"/>
                    </w:rPr>
                    <w:t>中柱</w:t>
                  </w:r>
                  <w:r>
                    <w:rPr>
                      <w:rFonts w:ascii="仿宋_GB2312" w:hAnsi="仿宋_GB2312" w:cs="仿宋_GB2312" w:eastAsia="仿宋_GB2312"/>
                      <w:sz w:val="21"/>
                      <w:color w:val="0000FF"/>
                    </w:rPr>
                    <w:t>增加灭烟</w:t>
                  </w:r>
                  <w:r>
                    <w:rPr>
                      <w:rFonts w:ascii="仿宋_GB2312" w:hAnsi="仿宋_GB2312" w:cs="仿宋_GB2312" w:eastAsia="仿宋_GB2312"/>
                      <w:sz w:val="21"/>
                      <w:color w:val="0000FF"/>
                    </w:rPr>
                    <w:t>投口</w:t>
                  </w:r>
                  <w:r>
                    <w:rPr>
                      <w:rFonts w:ascii="仿宋_GB2312" w:hAnsi="仿宋_GB2312" w:cs="仿宋_GB2312" w:eastAsia="仿宋_GB2312"/>
                      <w:sz w:val="21"/>
                      <w:color w:val="0000FF"/>
                    </w:rPr>
                    <w:t>，材质性能指标不低于</w:t>
                  </w:r>
                  <w:r>
                    <w:rPr>
                      <w:rFonts w:ascii="仿宋_GB2312" w:hAnsi="仿宋_GB2312" w:cs="仿宋_GB2312" w:eastAsia="仿宋_GB2312"/>
                      <w:sz w:val="21"/>
                      <w:color w:val="0000FF"/>
                    </w:rPr>
                    <w:t>SUS304。</w:t>
                  </w:r>
                  <w:r>
                    <w:rPr>
                      <w:rFonts w:ascii="仿宋_GB2312" w:hAnsi="仿宋_GB2312" w:cs="仿宋_GB2312" w:eastAsia="仿宋_GB2312"/>
                      <w:sz w:val="21"/>
                      <w:color w:val="0000FF"/>
                    </w:rPr>
                    <w:t>中柱配烟头收集盒。</w:t>
                  </w:r>
                  <w:r>
                    <w:rPr>
                      <w:rFonts w:ascii="仿宋_GB2312" w:hAnsi="仿宋_GB2312" w:cs="仿宋_GB2312" w:eastAsia="仿宋_GB2312"/>
                      <w:sz w:val="21"/>
                    </w:rPr>
                    <w:t xml:space="preserve"> </w:t>
                  </w:r>
                </w:p>
                <w:p>
                  <w:pPr>
                    <w:pStyle w:val="null3"/>
                    <w:spacing w:after="120"/>
                    <w:jc w:val="left"/>
                  </w:pPr>
                  <w:r>
                    <w:rPr>
                      <w:rFonts w:ascii="仿宋_GB2312" w:hAnsi="仿宋_GB2312" w:cs="仿宋_GB2312" w:eastAsia="仿宋_GB2312"/>
                      <w:sz w:val="21"/>
                      <w:color w:val="0000FF"/>
                    </w:rPr>
                    <w:t>5.</w:t>
                  </w:r>
                  <w:r>
                    <w:rPr>
                      <w:rFonts w:ascii="仿宋_GB2312" w:hAnsi="仿宋_GB2312" w:cs="仿宋_GB2312" w:eastAsia="仿宋_GB2312"/>
                      <w:sz w:val="21"/>
                      <w:color w:val="0000FF"/>
                    </w:rPr>
                    <w:t>箱体底部配置</w:t>
                  </w:r>
                  <w:r>
                    <w:rPr>
                      <w:rFonts w:ascii="仿宋_GB2312" w:hAnsi="仿宋_GB2312" w:cs="仿宋_GB2312" w:eastAsia="仿宋_GB2312"/>
                      <w:sz w:val="21"/>
                      <w:color w:val="0000FF"/>
                    </w:rPr>
                    <w:t>2</w:t>
                  </w:r>
                  <w:r>
                    <w:rPr>
                      <w:rFonts w:ascii="仿宋_GB2312" w:hAnsi="仿宋_GB2312" w:cs="仿宋_GB2312" w:eastAsia="仿宋_GB2312"/>
                      <w:sz w:val="21"/>
                      <w:color w:val="0000FF"/>
                    </w:rPr>
                    <w:t>条折弯</w:t>
                  </w:r>
                  <w:r>
                    <w:rPr>
                      <w:rFonts w:ascii="仿宋_GB2312" w:hAnsi="仿宋_GB2312" w:cs="仿宋_GB2312" w:eastAsia="仿宋_GB2312"/>
                      <w:sz w:val="21"/>
                      <w:color w:val="0000FF"/>
                    </w:rPr>
                    <w:t>U 型筋，宽度≥50mm；厚度≥2.0mm，配置4个≥14mm</w:t>
                  </w:r>
                  <w:r>
                    <w:rPr>
                      <w:rFonts w:ascii="仿宋_GB2312" w:hAnsi="仿宋_GB2312" w:cs="仿宋_GB2312" w:eastAsia="仿宋_GB2312"/>
                      <w:sz w:val="21"/>
                      <w:color w:val="0000FF"/>
                    </w:rPr>
                    <w:t>*</w:t>
                  </w:r>
                  <w:r>
                    <w:rPr>
                      <w:rFonts w:ascii="仿宋_GB2312" w:hAnsi="仿宋_GB2312" w:cs="仿宋_GB2312" w:eastAsia="仿宋_GB2312"/>
                      <w:sz w:val="21"/>
                      <w:color w:val="0000FF"/>
                    </w:rPr>
                    <w:t>20mm 腰型孔。</w:t>
                  </w:r>
                </w:p>
                <w:p>
                  <w:pPr>
                    <w:pStyle w:val="null3"/>
                    <w:spacing w:after="120"/>
                    <w:jc w:val="left"/>
                  </w:pPr>
                  <w:r>
                    <w:rPr>
                      <w:rFonts w:ascii="仿宋_GB2312" w:hAnsi="仿宋_GB2312" w:cs="仿宋_GB2312" w:eastAsia="仿宋_GB2312"/>
                      <w:sz w:val="21"/>
                      <w:color w:val="0000FF"/>
                    </w:rPr>
                    <w:t>6.</w:t>
                  </w:r>
                  <w:r>
                    <w:rPr>
                      <w:rFonts w:ascii="仿宋_GB2312" w:hAnsi="仿宋_GB2312" w:cs="仿宋_GB2312" w:eastAsia="仿宋_GB2312"/>
                      <w:sz w:val="21"/>
                      <w:color w:val="0000FF"/>
                    </w:rPr>
                    <w:t>门锁采用性能指标不低于</w:t>
                  </w:r>
                  <w:r>
                    <w:rPr>
                      <w:rFonts w:ascii="仿宋_GB2312" w:hAnsi="仿宋_GB2312" w:cs="仿宋_GB2312" w:eastAsia="仿宋_GB2312"/>
                      <w:sz w:val="21"/>
                      <w:color w:val="0000FF"/>
                    </w:rPr>
                    <w:t>MS705三角钥匙锁。</w:t>
                  </w:r>
                </w:p>
                <w:p>
                  <w:pPr>
                    <w:pStyle w:val="null3"/>
                    <w:spacing w:after="120"/>
                    <w:jc w:val="left"/>
                  </w:pPr>
                  <w:r>
                    <w:rPr>
                      <w:rFonts w:ascii="仿宋_GB2312" w:hAnsi="仿宋_GB2312" w:cs="仿宋_GB2312" w:eastAsia="仿宋_GB2312"/>
                      <w:sz w:val="21"/>
                      <w:color w:val="0000FF"/>
                    </w:rPr>
                    <w:t>7.</w:t>
                  </w:r>
                  <w:r>
                    <w:rPr>
                      <w:rFonts w:ascii="仿宋_GB2312" w:hAnsi="仿宋_GB2312" w:cs="仿宋_GB2312" w:eastAsia="仿宋_GB2312"/>
                      <w:sz w:val="21"/>
                      <w:color w:val="0000FF"/>
                    </w:rPr>
                    <w:t>垃圾桶前门应具备自动回弹功能。</w:t>
                  </w:r>
                </w:p>
                <w:p>
                  <w:pPr>
                    <w:pStyle w:val="null3"/>
                    <w:spacing w:after="1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内胆要求：</w:t>
                  </w:r>
                  <w:r>
                    <w:rPr>
                      <w:rFonts w:ascii="仿宋_GB2312" w:hAnsi="仿宋_GB2312" w:cs="仿宋_GB2312" w:eastAsia="仿宋_GB2312"/>
                      <w:sz w:val="21"/>
                      <w:color w:val="0000FF"/>
                    </w:rPr>
                    <w:t>容量</w:t>
                  </w:r>
                  <w:r>
                    <w:rPr>
                      <w:rFonts w:ascii="仿宋_GB2312" w:hAnsi="仿宋_GB2312" w:cs="仿宋_GB2312" w:eastAsia="仿宋_GB2312"/>
                      <w:sz w:val="21"/>
                      <w:color w:val="0000FF"/>
                    </w:rPr>
                    <w:t>≥</w:t>
                  </w:r>
                  <w:r>
                    <w:rPr>
                      <w:rFonts w:ascii="仿宋_GB2312" w:hAnsi="仿宋_GB2312" w:cs="仿宋_GB2312" w:eastAsia="仿宋_GB2312"/>
                      <w:sz w:val="21"/>
                      <w:color w:val="0000FF"/>
                    </w:rPr>
                    <w:t>46</w:t>
                  </w:r>
                  <w:r>
                    <w:rPr>
                      <w:rFonts w:ascii="仿宋_GB2312" w:hAnsi="仿宋_GB2312" w:cs="仿宋_GB2312" w:eastAsia="仿宋_GB2312"/>
                      <w:sz w:val="21"/>
                      <w:color w:val="0000FF"/>
                    </w:rPr>
                    <w:t>升</w:t>
                  </w: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厚度</w:t>
                  </w:r>
                  <w:r>
                    <w:rPr>
                      <w:rFonts w:ascii="仿宋_GB2312" w:hAnsi="仿宋_GB2312" w:cs="仿宋_GB2312" w:eastAsia="仿宋_GB2312"/>
                      <w:sz w:val="21"/>
                      <w:color w:val="0000FF"/>
                    </w:rPr>
                    <w:t>≥0.8mm，上口及中间位置做滚筋处理。</w:t>
                  </w:r>
                </w:p>
                <w:p>
                  <w:pPr>
                    <w:pStyle w:val="null3"/>
                    <w:spacing w:after="120"/>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丝印要求：垃圾桶左侧投口处印</w:t>
                  </w:r>
                  <w:r>
                    <w:rPr>
                      <w:rFonts w:ascii="仿宋_GB2312" w:hAnsi="仿宋_GB2312" w:cs="仿宋_GB2312" w:eastAsia="仿宋_GB2312"/>
                      <w:sz w:val="21"/>
                      <w:color w:val="0000FF"/>
                    </w:rPr>
                    <w:t>“可回收</w:t>
                  </w:r>
                  <w:r>
                    <w:rPr>
                      <w:rFonts w:ascii="仿宋_GB2312" w:hAnsi="仿宋_GB2312" w:cs="仿宋_GB2312" w:eastAsia="仿宋_GB2312"/>
                      <w:sz w:val="21"/>
                      <w:color w:val="0000FF"/>
                    </w:rPr>
                    <w:t>物</w:t>
                  </w:r>
                  <w:r>
                    <w:rPr>
                      <w:rFonts w:ascii="仿宋_GB2312" w:hAnsi="仿宋_GB2312" w:cs="仿宋_GB2312" w:eastAsia="仿宋_GB2312"/>
                      <w:sz w:val="21"/>
                      <w:color w:val="0000FF"/>
                    </w:rPr>
                    <w:t>”；</w:t>
                  </w:r>
                  <w:r>
                    <w:rPr>
                      <w:rFonts w:ascii="仿宋_GB2312" w:hAnsi="仿宋_GB2312" w:cs="仿宋_GB2312" w:eastAsia="仿宋_GB2312"/>
                      <w:sz w:val="21"/>
                      <w:color w:val="0000FF"/>
                    </w:rPr>
                    <w:t>中间</w:t>
                  </w:r>
                  <w:r>
                    <w:rPr>
                      <w:rFonts w:ascii="仿宋_GB2312" w:hAnsi="仿宋_GB2312" w:cs="仿宋_GB2312" w:eastAsia="仿宋_GB2312"/>
                      <w:sz w:val="21"/>
                      <w:color w:val="0000FF"/>
                    </w:rPr>
                    <w:t>投口处印</w:t>
                  </w:r>
                  <w:r>
                    <w:rPr>
                      <w:rFonts w:ascii="仿宋_GB2312" w:hAnsi="仿宋_GB2312" w:cs="仿宋_GB2312" w:eastAsia="仿宋_GB2312"/>
                      <w:sz w:val="21"/>
                      <w:color w:val="0000FF"/>
                    </w:rPr>
                    <w:t>“</w:t>
                  </w:r>
                  <w:r>
                    <w:rPr>
                      <w:rFonts w:ascii="仿宋_GB2312" w:hAnsi="仿宋_GB2312" w:cs="仿宋_GB2312" w:eastAsia="仿宋_GB2312"/>
                      <w:sz w:val="21"/>
                      <w:color w:val="0000FF"/>
                    </w:rPr>
                    <w:t>其他垃圾</w:t>
                  </w:r>
                  <w:r>
                    <w:rPr>
                      <w:rFonts w:ascii="仿宋_GB2312" w:hAnsi="仿宋_GB2312" w:cs="仿宋_GB2312" w:eastAsia="仿宋_GB2312"/>
                      <w:sz w:val="21"/>
                      <w:color w:val="0000FF"/>
                    </w:rPr>
                    <w:t>”</w:t>
                  </w:r>
                  <w:r>
                    <w:rPr>
                      <w:rFonts w:ascii="仿宋_GB2312" w:hAnsi="仿宋_GB2312" w:cs="仿宋_GB2312" w:eastAsia="仿宋_GB2312"/>
                      <w:sz w:val="21"/>
                      <w:color w:val="0000FF"/>
                    </w:rPr>
                    <w:t>；</w:t>
                  </w:r>
                  <w:r>
                    <w:rPr>
                      <w:rFonts w:ascii="仿宋_GB2312" w:hAnsi="仿宋_GB2312" w:cs="仿宋_GB2312" w:eastAsia="仿宋_GB2312"/>
                      <w:sz w:val="21"/>
                      <w:color w:val="0000FF"/>
                    </w:rPr>
                    <w:t>右</w:t>
                  </w:r>
                  <w:r>
                    <w:rPr>
                      <w:rFonts w:ascii="仿宋_GB2312" w:hAnsi="仿宋_GB2312" w:cs="仿宋_GB2312" w:eastAsia="仿宋_GB2312"/>
                      <w:sz w:val="21"/>
                      <w:color w:val="0000FF"/>
                    </w:rPr>
                    <w:t>侧</w:t>
                  </w:r>
                  <w:r>
                    <w:rPr>
                      <w:rFonts w:ascii="仿宋_GB2312" w:hAnsi="仿宋_GB2312" w:cs="仿宋_GB2312" w:eastAsia="仿宋_GB2312"/>
                      <w:sz w:val="21"/>
                      <w:color w:val="0000FF"/>
                    </w:rPr>
                    <w:t>投口处印</w:t>
                  </w:r>
                  <w:r>
                    <w:rPr>
                      <w:rFonts w:ascii="仿宋_GB2312" w:hAnsi="仿宋_GB2312" w:cs="仿宋_GB2312" w:eastAsia="仿宋_GB2312"/>
                      <w:sz w:val="21"/>
                      <w:color w:val="0000FF"/>
                    </w:rPr>
                    <w:t>“</w:t>
                  </w:r>
                  <w:r>
                    <w:rPr>
                      <w:rFonts w:ascii="仿宋_GB2312" w:hAnsi="仿宋_GB2312" w:cs="仿宋_GB2312" w:eastAsia="仿宋_GB2312"/>
                      <w:sz w:val="21"/>
                      <w:color w:val="0000FF"/>
                    </w:rPr>
                    <w:t>有害垃圾</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spacing w:after="120"/>
                    <w:jc w:val="left"/>
                  </w:pPr>
                  <w:r>
                    <w:rPr>
                      <w:rFonts w:ascii="仿宋_GB2312" w:hAnsi="仿宋_GB2312" w:cs="仿宋_GB2312" w:eastAsia="仿宋_GB2312"/>
                      <w:sz w:val="21"/>
                      <w:color w:val="0000FF"/>
                    </w:rPr>
                    <w:t>10.</w:t>
                  </w:r>
                  <w:r>
                    <w:rPr>
                      <w:rFonts w:ascii="仿宋_GB2312" w:hAnsi="仿宋_GB2312" w:cs="仿宋_GB2312" w:eastAsia="仿宋_GB2312"/>
                      <w:sz w:val="21"/>
                      <w:color w:val="0000FF"/>
                    </w:rPr>
                    <w:t>颜色要求：</w:t>
                  </w:r>
                  <w:r>
                    <w:rPr>
                      <w:rFonts w:ascii="仿宋_GB2312" w:hAnsi="仿宋_GB2312" w:cs="仿宋_GB2312" w:eastAsia="仿宋_GB2312"/>
                      <w:sz w:val="21"/>
                      <w:color w:val="0000FF"/>
                    </w:rPr>
                    <w:t>整体不锈钢本色进行拉丝处理</w:t>
                  </w:r>
                  <w:r>
                    <w:rPr>
                      <w:rFonts w:ascii="仿宋_GB2312" w:hAnsi="仿宋_GB2312" w:cs="仿宋_GB2312" w:eastAsia="仿宋_GB2312"/>
                      <w:sz w:val="21"/>
                    </w:rPr>
                    <w:t>（</w:t>
                  </w:r>
                  <w:r>
                    <w:rPr>
                      <w:rFonts w:ascii="仿宋_GB2312" w:hAnsi="仿宋_GB2312" w:cs="仿宋_GB2312" w:eastAsia="仿宋_GB2312"/>
                      <w:sz w:val="21"/>
                      <w:color w:val="0000FF"/>
                    </w:rPr>
                    <w:t>果皮箱门除外）。</w:t>
                  </w:r>
                </w:p>
                <w:p>
                  <w:pPr>
                    <w:pStyle w:val="null3"/>
                    <w:spacing w:after="120"/>
                    <w:jc w:val="left"/>
                  </w:pPr>
                  <w:r>
                    <w:rPr>
                      <w:rFonts w:ascii="仿宋_GB2312" w:hAnsi="仿宋_GB2312" w:cs="仿宋_GB2312" w:eastAsia="仿宋_GB2312"/>
                      <w:sz w:val="21"/>
                      <w:color w:val="0000FF"/>
                    </w:rPr>
                    <w:t>11.</w:t>
                  </w:r>
                  <w:r>
                    <w:rPr>
                      <w:rFonts w:ascii="仿宋_GB2312" w:hAnsi="仿宋_GB2312" w:cs="仿宋_GB2312" w:eastAsia="仿宋_GB2312"/>
                      <w:sz w:val="21"/>
                      <w:color w:val="0000FF"/>
                    </w:rPr>
                    <w:t>喷涂要求</w:t>
                  </w:r>
                  <w:r>
                    <w:rPr>
                      <w:rFonts w:ascii="仿宋_GB2312" w:hAnsi="仿宋_GB2312" w:cs="仿宋_GB2312" w:eastAsia="仿宋_GB2312"/>
                      <w:sz w:val="21"/>
                      <w:color w:val="0000FF"/>
                    </w:rPr>
                    <w:t>果皮箱门</w:t>
                  </w:r>
                  <w:r>
                    <w:rPr>
                      <w:rFonts w:ascii="仿宋_GB2312" w:hAnsi="仿宋_GB2312" w:cs="仿宋_GB2312" w:eastAsia="仿宋_GB2312"/>
                      <w:sz w:val="21"/>
                      <w:color w:val="0000FF"/>
                    </w:rPr>
                    <w:t>采用高压静电粉末喷涂</w:t>
                  </w:r>
                  <w:r>
                    <w:rPr>
                      <w:rFonts w:ascii="仿宋_GB2312" w:hAnsi="仿宋_GB2312" w:cs="仿宋_GB2312" w:eastAsia="仿宋_GB2312"/>
                      <w:sz w:val="21"/>
                      <w:color w:val="0000FF"/>
                    </w:rPr>
                    <w:t>。</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5</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垃圾分类收集桶（</w:t>
                  </w:r>
                  <w:r>
                    <w:rPr>
                      <w:rFonts w:ascii="仿宋_GB2312" w:hAnsi="仿宋_GB2312" w:cs="仿宋_GB2312" w:eastAsia="仿宋_GB2312"/>
                      <w:sz w:val="21"/>
                      <w:color w:val="0000FF"/>
                    </w:rPr>
                    <w:t>660L）</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100个</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1.规格容量：≥660 升垃圾桶；</w:t>
                  </w:r>
                </w:p>
                <w:p>
                  <w:pPr>
                    <w:pStyle w:val="null3"/>
                    <w:spacing w:after="120"/>
                    <w:jc w:val="left"/>
                  </w:pPr>
                  <w:r>
                    <w:rPr>
                      <w:rFonts w:ascii="仿宋_GB2312" w:hAnsi="仿宋_GB2312" w:cs="仿宋_GB2312" w:eastAsia="仿宋_GB2312"/>
                      <w:sz w:val="21"/>
                      <w:color w:val="0000FF"/>
                    </w:rPr>
                    <w:t>2.产品所执行的标准、标准号:《中华人民共和国城镇建设行业标准-塑料 垃圾桶通用技术条件》，标准号：CJ/T280-2008。</w:t>
                  </w:r>
                </w:p>
                <w:p>
                  <w:pPr>
                    <w:pStyle w:val="null3"/>
                    <w:spacing w:after="120"/>
                    <w:jc w:val="left"/>
                  </w:pPr>
                  <w:r>
                    <w:rPr>
                      <w:rFonts w:ascii="仿宋_GB2312" w:hAnsi="仿宋_GB2312" w:cs="仿宋_GB2312" w:eastAsia="仿宋_GB2312"/>
                      <w:sz w:val="21"/>
                      <w:color w:val="0000FF"/>
                    </w:rPr>
                    <w:t>3.尺寸为:L1370*W785*H1230mm(±3%)，产品具有阻燃功能；单桶身（注：净重量只包含桶身，不包括滚轮、轮轴、铰链等零部件重量）≥23.8KG；整套重量≥44KG（±0.1KG）；</w:t>
                  </w:r>
                </w:p>
                <w:p>
                  <w:pPr>
                    <w:pStyle w:val="null3"/>
                    <w:spacing w:after="120"/>
                    <w:jc w:val="left"/>
                  </w:pPr>
                  <w:r>
                    <w:rPr>
                      <w:rFonts w:ascii="仿宋_GB2312" w:hAnsi="仿宋_GB2312" w:cs="仿宋_GB2312" w:eastAsia="仿宋_GB2312"/>
                      <w:sz w:val="21"/>
                      <w:color w:val="0000FF"/>
                    </w:rPr>
                    <w:t>4.桶体及桶盖要求采用 100％高密度聚乙烯，塑料桶颜色保持鲜艳耐久不褪色至少5年；</w:t>
                  </w:r>
                </w:p>
                <w:p>
                  <w:pPr>
                    <w:pStyle w:val="null3"/>
                    <w:spacing w:after="120"/>
                    <w:jc w:val="left"/>
                  </w:pPr>
                  <w:r>
                    <w:rPr>
                      <w:rFonts w:ascii="仿宋_GB2312" w:hAnsi="仿宋_GB2312" w:cs="仿宋_GB2312" w:eastAsia="仿宋_GB2312"/>
                      <w:sz w:val="21"/>
                      <w:color w:val="0000FF"/>
                    </w:rPr>
                    <w:t>5.橡胶轮：内圈HDPE全新原料注塑成型，外圈橡胶，轮毂及桶圈采用HDPE内衬耐磨钢套，轮胎采用橡胶材质，采用直插止退防盗设计与轮轴连接。轮轴采用45#碳钢材质镀锌杆，承重性能≥260KG，表面电镀锌≥12μ的厚度；底轴规格：Φ20mm。</w:t>
                  </w:r>
                </w:p>
                <w:p>
                  <w:pPr>
                    <w:pStyle w:val="null3"/>
                    <w:spacing w:after="120"/>
                    <w:jc w:val="left"/>
                  </w:pPr>
                  <w:r>
                    <w:rPr>
                      <w:rFonts w:ascii="仿宋_GB2312" w:hAnsi="仿宋_GB2312" w:cs="仿宋_GB2312" w:eastAsia="仿宋_GB2312"/>
                      <w:sz w:val="21"/>
                      <w:color w:val="0000FF"/>
                    </w:rPr>
                    <w:t>6.桶身壁厚≥5mm，桶底壁厚≥5mm，桶盖壁厚≥4mm，加强筋壁厚≥6mm顶部外沿每边设纵向加强筋不少于7条，桶盖4边均有提拉把手。</w:t>
                  </w:r>
                </w:p>
                <w:p>
                  <w:pPr>
                    <w:pStyle w:val="null3"/>
                    <w:spacing w:after="120"/>
                    <w:jc w:val="left"/>
                  </w:pPr>
                  <w:r>
                    <w:rPr>
                      <w:rFonts w:ascii="仿宋_GB2312" w:hAnsi="仿宋_GB2312" w:cs="仿宋_GB2312" w:eastAsia="仿宋_GB2312"/>
                      <w:sz w:val="21"/>
                      <w:color w:val="0000FF"/>
                    </w:rPr>
                    <w:t>7.桶盖与桶身之间采用四条铰链链接。手柄采用两段不连接形式。</w:t>
                  </w:r>
                </w:p>
                <w:p>
                  <w:pPr>
                    <w:pStyle w:val="null3"/>
                    <w:spacing w:after="120"/>
                    <w:jc w:val="left"/>
                  </w:pPr>
                  <w:r>
                    <w:rPr>
                      <w:rFonts w:ascii="仿宋_GB2312" w:hAnsi="仿宋_GB2312" w:cs="仿宋_GB2312" w:eastAsia="仿宋_GB2312"/>
                      <w:sz w:val="21"/>
                      <w:color w:val="0000FF"/>
                    </w:rPr>
                    <w:t>8.桶身内壁有刻度标识，桶底具有出水口。</w:t>
                  </w:r>
                </w:p>
                <w:p>
                  <w:pPr>
                    <w:pStyle w:val="null3"/>
                    <w:spacing w:after="120"/>
                    <w:jc w:val="left"/>
                  </w:pPr>
                  <w:r>
                    <w:rPr>
                      <w:rFonts w:ascii="仿宋_GB2312" w:hAnsi="仿宋_GB2312" w:cs="仿宋_GB2312" w:eastAsia="仿宋_GB2312"/>
                      <w:sz w:val="21"/>
                      <w:color w:val="0000FF"/>
                    </w:rPr>
                    <w:t>9.产品具有耐酸、耐碱、耐腐蚀的性能，正常工作温度：-30℃～+65℃</w:t>
                  </w:r>
                </w:p>
                <w:p>
                  <w:pPr>
                    <w:pStyle w:val="null3"/>
                    <w:spacing w:after="120"/>
                    <w:jc w:val="left"/>
                  </w:pPr>
                  <w:r>
                    <w:rPr>
                      <w:rFonts w:ascii="仿宋_GB2312" w:hAnsi="仿宋_GB2312" w:cs="仿宋_GB2312" w:eastAsia="仿宋_GB2312"/>
                      <w:sz w:val="21"/>
                      <w:color w:val="0000FF"/>
                    </w:rPr>
                    <w:t>10.垃圾桶分类收集容器正面按要求规范标注垃圾分类标识（最终按采购人要求标识）。</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6</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垃圾分类收集桶（</w:t>
                  </w:r>
                  <w:r>
                    <w:rPr>
                      <w:rFonts w:ascii="仿宋_GB2312" w:hAnsi="仿宋_GB2312" w:cs="仿宋_GB2312" w:eastAsia="仿宋_GB2312"/>
                      <w:sz w:val="21"/>
                      <w:color w:val="0000FF"/>
                    </w:rPr>
                    <w:t>24</w:t>
                  </w:r>
                  <w:r>
                    <w:rPr>
                      <w:rFonts w:ascii="仿宋_GB2312" w:hAnsi="仿宋_GB2312" w:cs="仿宋_GB2312" w:eastAsia="仿宋_GB2312"/>
                      <w:sz w:val="21"/>
                      <w:color w:val="0000FF"/>
                    </w:rPr>
                    <w:t>0L）</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300个</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1.规格容量：≥240 升垃圾桶；</w:t>
                  </w:r>
                </w:p>
                <w:p>
                  <w:pPr>
                    <w:pStyle w:val="null3"/>
                    <w:spacing w:after="120"/>
                    <w:jc w:val="left"/>
                  </w:pPr>
                  <w:r>
                    <w:rPr>
                      <w:rFonts w:ascii="仿宋_GB2312" w:hAnsi="仿宋_GB2312" w:cs="仿宋_GB2312" w:eastAsia="仿宋_GB2312"/>
                      <w:sz w:val="21"/>
                      <w:color w:val="0000FF"/>
                    </w:rPr>
                    <w:t>2.产品所执行的标准、标准号:《中华人民共和国城镇建设行业标准-塑料 垃圾桶通用技术条件》，标准号：CJ/T280-2008。</w:t>
                  </w:r>
                </w:p>
                <w:p>
                  <w:pPr>
                    <w:pStyle w:val="null3"/>
                    <w:spacing w:after="120"/>
                    <w:jc w:val="left"/>
                  </w:pPr>
                  <w:r>
                    <w:rPr>
                      <w:rFonts w:ascii="仿宋_GB2312" w:hAnsi="仿宋_GB2312" w:cs="仿宋_GB2312" w:eastAsia="仿宋_GB2312"/>
                      <w:sz w:val="21"/>
                      <w:color w:val="0000FF"/>
                    </w:rPr>
                    <w:t>3.尺寸为:L740*W585*H1090MM(±3%)，具有阻燃功能；单桶身（不含盖轮轴耐磨钉）≥9.5KG；</w:t>
                  </w:r>
                </w:p>
                <w:p>
                  <w:pPr>
                    <w:pStyle w:val="null3"/>
                    <w:spacing w:after="120"/>
                    <w:jc w:val="left"/>
                  </w:pPr>
                  <w:r>
                    <w:rPr>
                      <w:rFonts w:ascii="仿宋_GB2312" w:hAnsi="仿宋_GB2312" w:cs="仿宋_GB2312" w:eastAsia="仿宋_GB2312"/>
                      <w:sz w:val="21"/>
                      <w:color w:val="0000FF"/>
                    </w:rPr>
                    <w:t>4.桶盖子：1.3KG（±0.1KG），整套重量：13.7KG（±0.1KG）；</w:t>
                  </w:r>
                </w:p>
                <w:p>
                  <w:pPr>
                    <w:pStyle w:val="null3"/>
                    <w:spacing w:after="120"/>
                    <w:jc w:val="left"/>
                  </w:pPr>
                  <w:r>
                    <w:rPr>
                      <w:rFonts w:ascii="仿宋_GB2312" w:hAnsi="仿宋_GB2312" w:cs="仿宋_GB2312" w:eastAsia="仿宋_GB2312"/>
                      <w:sz w:val="21"/>
                      <w:color w:val="0000FF"/>
                    </w:rPr>
                    <w:t>5.桶体及桶盖要求采用 100％高密度聚乙烯，安装简单并具备倒钩防盗特性并直接与桶盖3条耳朵相连接。塑料桶颜色保持鲜艳耐久不褪色至少5年；</w:t>
                  </w:r>
                </w:p>
                <w:p>
                  <w:pPr>
                    <w:pStyle w:val="null3"/>
                    <w:spacing w:after="120"/>
                    <w:jc w:val="left"/>
                  </w:pPr>
                  <w:r>
                    <w:rPr>
                      <w:rFonts w:ascii="仿宋_GB2312" w:hAnsi="仿宋_GB2312" w:cs="仿宋_GB2312" w:eastAsia="仿宋_GB2312"/>
                      <w:sz w:val="21"/>
                      <w:color w:val="0000FF"/>
                    </w:rPr>
                    <w:t>6.轮轴为插入防盗式结构，轴采用 Q235 钢材料，表面电镀锌≥12μ的厚度；轮胎承载力达120±5kg，内轮框内置铁件均采用不锈钢材质；</w:t>
                  </w:r>
                </w:p>
                <w:p>
                  <w:pPr>
                    <w:pStyle w:val="null3"/>
                    <w:spacing w:after="120"/>
                    <w:jc w:val="left"/>
                  </w:pPr>
                  <w:r>
                    <w:rPr>
                      <w:rFonts w:ascii="仿宋_GB2312" w:hAnsi="仿宋_GB2312" w:cs="仿宋_GB2312" w:eastAsia="仿宋_GB2312"/>
                      <w:sz w:val="21"/>
                      <w:color w:val="0000FF"/>
                    </w:rPr>
                    <w:t>7.垃圾桶壁厚≥5mm，桶顶部外沿和两侧加强筋厚度10mm以上，顶部外沿每边设纵向加强筋不少于5条，桶身与把手连接设纵向加强筋不少于8条；</w:t>
                  </w:r>
                </w:p>
                <w:p>
                  <w:pPr>
                    <w:pStyle w:val="null3"/>
                    <w:spacing w:after="120"/>
                    <w:jc w:val="left"/>
                  </w:pPr>
                  <w:r>
                    <w:rPr>
                      <w:rFonts w:ascii="仿宋_GB2312" w:hAnsi="仿宋_GB2312" w:cs="仿宋_GB2312" w:eastAsia="仿宋_GB2312"/>
                      <w:sz w:val="21"/>
                      <w:color w:val="0000FF"/>
                    </w:rPr>
                    <w:t>8.桶体与桶盖三点链接，桶盖外延三条耳朵与桶体把手通过长销紧密连接。</w:t>
                  </w:r>
                </w:p>
                <w:p>
                  <w:pPr>
                    <w:pStyle w:val="null3"/>
                    <w:spacing w:after="120"/>
                    <w:jc w:val="left"/>
                  </w:pPr>
                  <w:r>
                    <w:rPr>
                      <w:rFonts w:ascii="仿宋_GB2312" w:hAnsi="仿宋_GB2312" w:cs="仿宋_GB2312" w:eastAsia="仿宋_GB2312"/>
                      <w:sz w:val="21"/>
                      <w:color w:val="0000FF"/>
                    </w:rPr>
                    <w:t>9.桶盖提手位置，应设有不少于 3 条加强筋加固，桶盖上带有灭烟标志；</w:t>
                  </w:r>
                </w:p>
                <w:p>
                  <w:pPr>
                    <w:pStyle w:val="null3"/>
                    <w:spacing w:after="120"/>
                    <w:jc w:val="left"/>
                  </w:pPr>
                  <w:r>
                    <w:rPr>
                      <w:rFonts w:ascii="仿宋_GB2312" w:hAnsi="仿宋_GB2312" w:cs="仿宋_GB2312" w:eastAsia="仿宋_GB2312"/>
                      <w:sz w:val="21"/>
                      <w:color w:val="0000FF"/>
                    </w:rPr>
                    <w:t>10.桶身内壁有刻度标识；</w:t>
                  </w:r>
                </w:p>
                <w:p>
                  <w:pPr>
                    <w:pStyle w:val="null3"/>
                    <w:spacing w:after="120"/>
                    <w:jc w:val="left"/>
                  </w:pPr>
                  <w:r>
                    <w:rPr>
                      <w:rFonts w:ascii="仿宋_GB2312" w:hAnsi="仿宋_GB2312" w:cs="仿宋_GB2312" w:eastAsia="仿宋_GB2312"/>
                      <w:sz w:val="21"/>
                      <w:color w:val="0000FF"/>
                    </w:rPr>
                    <w:t>11.桶把手的边缘设有专门的垃圾袋收纳装置；</w:t>
                  </w:r>
                </w:p>
                <w:p>
                  <w:pPr>
                    <w:pStyle w:val="null3"/>
                    <w:spacing w:after="120"/>
                    <w:jc w:val="left"/>
                  </w:pPr>
                  <w:r>
                    <w:rPr>
                      <w:rFonts w:ascii="仿宋_GB2312" w:hAnsi="仿宋_GB2312" w:cs="仿宋_GB2312" w:eastAsia="仿宋_GB2312"/>
                      <w:sz w:val="21"/>
                      <w:color w:val="0000FF"/>
                    </w:rPr>
                    <w:t>12.产品具有耐酸、耐碱、耐腐蚀的性能，正常工作温度：-30℃～+65℃</w:t>
                  </w:r>
                </w:p>
              </w:tc>
            </w:tr>
          </w:tbl>
          <w:p>
            <w:pPr>
              <w:pStyle w:val="null3"/>
              <w:ind w:firstLine="420"/>
            </w:pPr>
            <w:r>
              <w:rPr>
                <w:rFonts w:ascii="仿宋_GB2312" w:hAnsi="仿宋_GB2312" w:cs="仿宋_GB2312" w:eastAsia="仿宋_GB2312"/>
                <w:sz w:val="21"/>
                <w:b/>
                <w:color w:val="0000FF"/>
              </w:rPr>
              <w:t>备注：本项目核心产品为：垃圾分类收集箱。</w:t>
            </w:r>
            <w:r>
              <w:rPr>
                <w:rFonts w:ascii="仿宋_GB2312" w:hAnsi="仿宋_GB2312" w:cs="仿宋_GB2312" w:eastAsia="仿宋_GB2312"/>
              </w:rPr>
              <w:t xml:space="preserve"> </w:t>
            </w:r>
          </w:p>
          <w:p>
            <w:pPr>
              <w:pStyle w:val="null3"/>
            </w:pPr>
            <w:r>
              <w:rPr>
                <w:rFonts w:ascii="仿宋_GB2312" w:hAnsi="仿宋_GB2312" w:cs="仿宋_GB2312" w:eastAsia="仿宋_GB2312"/>
                <w:sz w:val="21"/>
                <w:b/>
                <w:color w:val="0000FF"/>
              </w:rPr>
              <w:t>三、商务要求</w:t>
            </w:r>
          </w:p>
          <w:p>
            <w:pPr>
              <w:pStyle w:val="null3"/>
              <w:ind w:right="90"/>
              <w:jc w:val="left"/>
            </w:pPr>
            <w:r>
              <w:rPr>
                <w:rFonts w:ascii="仿宋_GB2312" w:hAnsi="仿宋_GB2312" w:cs="仿宋_GB2312" w:eastAsia="仿宋_GB2312"/>
                <w:sz w:val="21"/>
                <w:color w:val="0000FF"/>
              </w:rPr>
              <w:t>1.交货及安装期</w:t>
            </w:r>
            <w:r>
              <w:rPr>
                <w:rFonts w:ascii="仿宋_GB2312" w:hAnsi="仿宋_GB2312" w:cs="仿宋_GB2312" w:eastAsia="仿宋_GB2312"/>
                <w:sz w:val="21"/>
                <w:color w:val="0000FF"/>
              </w:rPr>
              <w:t>：</w:t>
            </w:r>
            <w:r>
              <w:rPr>
                <w:rFonts w:ascii="仿宋_GB2312" w:hAnsi="仿宋_GB2312" w:cs="仿宋_GB2312" w:eastAsia="仿宋_GB2312"/>
                <w:sz w:val="21"/>
                <w:color w:val="0000FF"/>
              </w:rPr>
              <w:t>合同签订后</w:t>
            </w:r>
            <w:r>
              <w:rPr>
                <w:rFonts w:ascii="仿宋_GB2312" w:hAnsi="仿宋_GB2312" w:cs="仿宋_GB2312" w:eastAsia="仿宋_GB2312"/>
                <w:sz w:val="21"/>
                <w:color w:val="0000FF"/>
              </w:rPr>
              <w:t>15</w:t>
            </w:r>
            <w:r>
              <w:rPr>
                <w:rFonts w:ascii="仿宋_GB2312" w:hAnsi="仿宋_GB2312" w:cs="仿宋_GB2312" w:eastAsia="仿宋_GB2312"/>
                <w:sz w:val="21"/>
                <w:color w:val="0000FF"/>
              </w:rPr>
              <w:t>日历天完成安装调试</w:t>
            </w:r>
            <w:r>
              <w:rPr>
                <w:rFonts w:ascii="仿宋_GB2312" w:hAnsi="仿宋_GB2312" w:cs="仿宋_GB2312" w:eastAsia="仿宋_GB2312"/>
                <w:sz w:val="21"/>
                <w:color w:val="0000FF"/>
              </w:rPr>
              <w:t>。</w:t>
            </w:r>
          </w:p>
          <w:p>
            <w:pPr>
              <w:pStyle w:val="null3"/>
              <w:jc w:val="left"/>
            </w:pPr>
            <w:r>
              <w:rPr>
                <w:rFonts w:ascii="仿宋_GB2312" w:hAnsi="仿宋_GB2312" w:cs="仿宋_GB2312" w:eastAsia="仿宋_GB2312"/>
                <w:sz w:val="21"/>
                <w:color w:val="0000FF"/>
              </w:rPr>
              <w:t>2.</w:t>
            </w:r>
            <w:r>
              <w:rPr>
                <w:rFonts w:ascii="仿宋_GB2312" w:hAnsi="仿宋_GB2312" w:cs="仿宋_GB2312" w:eastAsia="仿宋_GB2312"/>
                <w:sz w:val="21"/>
                <w:color w:val="0000FF"/>
              </w:rPr>
              <w:t>付款方式：</w:t>
            </w:r>
          </w:p>
          <w:p>
            <w:pPr>
              <w:pStyle w:val="null3"/>
              <w:jc w:val="left"/>
            </w:pPr>
            <w:r>
              <w:rPr>
                <w:rFonts w:ascii="仿宋_GB2312" w:hAnsi="仿宋_GB2312" w:cs="仿宋_GB2312" w:eastAsia="仿宋_GB2312"/>
                <w:sz w:val="21"/>
                <w:color w:val="0000FF"/>
              </w:rPr>
              <w:t>（1）合同签订后，乙方向甲方支付合同总价10%的履约担保，甲方向乙方支付合同总价款40%的预付款（或支付担保） 。达到付款条件起 30 日内。</w:t>
            </w:r>
            <w:r>
              <w:br/>
            </w:r>
            <w:r>
              <w:rPr>
                <w:rFonts w:ascii="仿宋_GB2312" w:hAnsi="仿宋_GB2312" w:cs="仿宋_GB2312" w:eastAsia="仿宋_GB2312"/>
                <w:sz w:val="21"/>
                <w:color w:val="0000FF"/>
              </w:rPr>
              <w:t xml:space="preserve"> （2） 全部货物按招标文件交货期约定交付使用，且验收合格履约完成后，甲方支付至合同总价款的100%，并按乙方支付方式退还乙方的履约担保。如乙方未能按投标文件承诺的时间、产品内容、参数、质量交货的，甲方有权单方面中止合同，并不予退还相应履约担保（如采用担保形式担保的，担保单位承担连带责任并向甲方支付等额履约保证金），给甲方造成的损失超过履约保证金数额的，还应当对超过部分予以赔偿。在甲方付款前，乙方应开具符合甲方要求的增值税专用发票 。达到付款条件起 30 日内。</w:t>
            </w:r>
          </w:p>
          <w:p>
            <w:pPr>
              <w:pStyle w:val="null3"/>
              <w:jc w:val="left"/>
            </w:pPr>
            <w:r>
              <w:rPr>
                <w:rFonts w:ascii="仿宋_GB2312" w:hAnsi="仿宋_GB2312" w:cs="仿宋_GB2312" w:eastAsia="仿宋_GB2312"/>
                <w:sz w:val="21"/>
                <w:color w:val="0000FF"/>
              </w:rPr>
              <w:t>3.</w:t>
            </w:r>
            <w:r>
              <w:rPr>
                <w:rFonts w:ascii="仿宋_GB2312" w:hAnsi="仿宋_GB2312" w:cs="仿宋_GB2312" w:eastAsia="仿宋_GB2312"/>
                <w:sz w:val="21"/>
                <w:color w:val="0000FF"/>
              </w:rPr>
              <w:t>质保期：自验收</w:t>
            </w:r>
            <w:r>
              <w:rPr>
                <w:rFonts w:ascii="仿宋_GB2312" w:hAnsi="仿宋_GB2312" w:cs="仿宋_GB2312" w:eastAsia="仿宋_GB2312"/>
                <w:sz w:val="21"/>
                <w:color w:val="0000FF"/>
              </w:rPr>
              <w:t>合格</w:t>
            </w:r>
            <w:r>
              <w:rPr>
                <w:rFonts w:ascii="仿宋_GB2312" w:hAnsi="仿宋_GB2312" w:cs="仿宋_GB2312" w:eastAsia="仿宋_GB2312"/>
                <w:sz w:val="21"/>
                <w:color w:val="0000FF"/>
              </w:rPr>
              <w:t>之日起</w:t>
            </w:r>
            <w:r>
              <w:rPr>
                <w:rFonts w:ascii="仿宋_GB2312" w:hAnsi="仿宋_GB2312" w:cs="仿宋_GB2312" w:eastAsia="仿宋_GB2312"/>
                <w:sz w:val="21"/>
                <w:color w:val="0000FF"/>
              </w:rPr>
              <w:t>1年。</w:t>
            </w:r>
          </w:p>
          <w:p>
            <w:pPr>
              <w:pStyle w:val="null3"/>
              <w:jc w:val="left"/>
            </w:pPr>
            <w:r>
              <w:rPr>
                <w:rFonts w:ascii="仿宋_GB2312" w:hAnsi="仿宋_GB2312" w:cs="仿宋_GB2312" w:eastAsia="仿宋_GB2312"/>
                <w:sz w:val="21"/>
                <w:color w:val="0000FF"/>
              </w:rPr>
              <w:t>4.质量标准：符合国家及行业质量验收合格标准</w:t>
            </w:r>
          </w:p>
          <w:p>
            <w:pPr>
              <w:pStyle w:val="null3"/>
              <w:jc w:val="both"/>
            </w:pPr>
            <w:r>
              <w:rPr>
                <w:rFonts w:ascii="仿宋_GB2312" w:hAnsi="仿宋_GB2312" w:cs="仿宋_GB2312" w:eastAsia="仿宋_GB2312"/>
                <w:sz w:val="21"/>
                <w:color w:val="0000FF"/>
              </w:rPr>
              <w:t>5.交货地点：汉中市勉县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合同签订后15日历天完成安装调试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汉中市勉县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合同签订后，乙方向甲方支付合同总价10%的履约担保，甲方向乙方支付合同总价款40%的预付款（或支付担保）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按招标文件交货期约定交付使用，且验收合格履约完成后，甲方支付至合同总价款的100%，并按乙方支付方式退还乙方的履约担保。如乙方未能按投标文件承诺的时间、产品内容、参数、质量交货的，甲方有权单方面中止合同，并不予退还相应履约担保（如采用担保形式担保的，担保单位承担连带责任并向甲方支付等额履约保证金），给甲方造成的损失超过履约保证金数额的，还应当对超过部分予以赔偿。在甲方付款前，乙方应开具符合甲方要求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1、甲方须在乙方提出书面验收申请之日起 10日内，组织验收工作。验收由甲方指定单位及人员进行验收，验收合格后出具书面验收合格证明，作为对产品的最终认可。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 统一社会信用代码的营业执照等证明文件；事业法人应提供事业单位法人证等证明文件；其他组织应提供合法证明文件； 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 网站（www.creditchi na.gov.cn）中列入重大税收违法失信主体的供 应商；不得为“ 中国执行信息公开网”（http://z xgk.court.gov.cn）中列入失信被执行人名单 的供应商；不得为“ 中国政府采购网”（www.cc gp.gov.cn）政府采购严重违法失信行为记录名 单中被财政部门禁止参加政府采购活动的供应商； （注：以投标文件中提供的承诺书为准）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 （注：以投标文件中提供的声明为准）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且与营业执照或其他证明资料上信息一致。法定代表人授权代表参加投标的，须出具法定代表人授权书及授权代表身份证； 自然人参加投标的须提供身份证复印件</w:t>
            </w:r>
          </w:p>
        </w:tc>
        <w:tc>
          <w:tcPr>
            <w:tcW w:type="dxa" w:w="1661"/>
          </w:tcPr>
          <w:p>
            <w:pPr>
              <w:pStyle w:val="null3"/>
            </w:pPr>
            <w:r>
              <w:rPr>
                <w:rFonts w:ascii="仿宋_GB2312" w:hAnsi="仿宋_GB2312" w:cs="仿宋_GB2312" w:eastAsia="仿宋_GB2312"/>
              </w:rPr>
              <w:t>供应商应提交的相关资格证明材料.docx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开标一览表 投标方案.docx 产品技术参数表 供应商应提交的相关资格证明材料.docx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对“交货及安装期、交货及安装地点、交货及安装期、质保期、付款方式”等实质性内容进行响 应且未附加采购人难以接受的条件</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供应商拟供产品完全响应招标文件技术参数要求的，计29分，每负偏离1项扣0.5分。扣完为止，不计负分。 备注：供应商须提供拟供产品相关技术参数证明材料，包括但不限于产品介绍或彩页或说明书或检测报告等，供应商自行承担因未提供拟供产品技术参数证明材料导致技术参数被视为负偏离的风险。</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根据招标文件要求和技术响应情况，对供应商提供的设备质量保障措施进行评价： 包括：设备性能稳定性、安全性、功能性、使用效果、质量保障承诺书（须明确产品出现质量问题后的处置及处罚措施），对以上内容详尽阐述； （1）设备性能稳定，功能性完整，安全性及使用性充足，质量保障措施具体全面且可行性充足、质量保障承诺明确有力的，得12分； （2）设备性能基本稳定，具有安全性及使用性，质量保障措施明确且有一定可行性，质量保障承诺明确的，得9分； （3）设备性能基本稳定，安全性及使用性不足，质量保障措施明确，具有一定可行性、质量保障承诺明确的，得6分； （4）设备性能不稳定，安全性及使用性不足，无质量保障措施或无质量保障承诺，或虽有措施、承诺但内容空洞的，得3分；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根据招标文件要求和技术响应情况，对供应商提供的供货方案进行评价： （1）供货方案：供货方案详细具体科学合理，衔接紧密且具有针对性；供货实施周期合理高效，逻辑结构清晰且具有针对性；交付周期保障措施明确有力的，得8分； （2）供货方案：供货方案明确且具有合理性，各阶段工作衔接基本紧密且具有一定针对性；供货实施周期基本合理，逻辑结构基本清晰且具有一定针对性；交付周期保障措施基本明确的，得6分； （3）供货方案：供货方案明确，各阶段工作有一定衔接性及针对性；供货实施周期基本合理，具有逻辑性和针对性；交付周期保障措施含糊的，得4分； （4）供货方案：供货方案模糊且合理性不足，各阶段工作无衔接无针对性；供货实施周期不合理，逻辑结构不清晰且针对性不足；无交付周期保障措施或虽有措施但内容空洞的，得2分；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根据招标文件要求和技术响应情况，对供应商提供的人员配备（包括专职对接人员、安装调试人员、售后服务人员等）方案进行评价： （1）针对本项目拟配备服务团队人员架构齐全、数量充足、专业经验丰富，配备方案合理高效，逻辑结构清晰且具有针对性的，得8分； （2）针对本项目拟配备服务团队人员架构基本齐全、数量基本充足、专业经验丰富，配备方案明确且具有一定合理性，逻辑结构基本清晰且具有一定针对性的，得6分； （3）针对本项目拟配备服务团队人员架构基本齐全、数量基本充足、具有专业经验，配备方案明确但合理性不足，具有逻辑结构且具有一定针对性的，得4分； （4）针对本项目拟配备服务团队人员架构含糊、数量不足、专业经验不足，配备方案含糊，逻辑结构不清晰且针对性不足的，得2分；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售后服务方案、承诺及保障措施</w:t>
            </w:r>
          </w:p>
        </w:tc>
        <w:tc>
          <w:tcPr>
            <w:tcW w:type="dxa" w:w="2492"/>
          </w:tcPr>
          <w:p>
            <w:pPr>
              <w:pStyle w:val="null3"/>
            </w:pPr>
            <w:r>
              <w:rPr>
                <w:rFonts w:ascii="仿宋_GB2312" w:hAnsi="仿宋_GB2312" w:cs="仿宋_GB2312" w:eastAsia="仿宋_GB2312"/>
              </w:rPr>
              <w:t>根据招标文件要求和技术响应情况，对供应商提供的售后服务方案、承诺及保障措施（包括售后服务人员配备，售后服务流程，售后服务响应时间，备品、配件保障措施，售后巡查及维护安排，售后服务监督与奖惩，售后服务管理，客诉渠道）进行评价： （1）内容详尽阐述，方案详细具体且针对性充足的，得9分； （2）内容明确，方案明确且有一定针对性的，得7分； （3）内容基本明确，服务方案简略但具有针对性的，得5分； （4）内容含糊，服务方案空洞且不具有针对性的，得3分；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供应商提供2022年1月1日至今的类似项目业绩，每份计2分，满分4分。 注：以供应商响应文件中所附加盖公章的项目合同复印件为准，业绩时间以合同显示时间为准，否则不得分。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满足招标文件要求且价格最低的价格为评标基准价，其价格分为满分。其他供应商的价格分统 一按照下列公式计算：投标报价得分=（评标基准价/投标报价） ×分 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