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版本号：SXJG[2025]4620250828001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25年粮油绿色高效提单产物资</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SXJG[2025]46</w:t>
      </w:r>
      <w:r>
        <w:br/>
      </w:r>
      <w:r>
        <w:br/>
      </w:r>
      <w:r>
        <w:br/>
      </w:r>
    </w:p>
    <w:p>
      <w:pPr>
        <w:pStyle w:val="null3"/>
        <w:jc w:val="center"/>
        <w:outlineLvl w:val="2"/>
      </w:pPr>
      <w:r>
        <w:rPr>
          <w:rFonts w:ascii="仿宋_GB2312" w:hAnsi="仿宋_GB2312" w:cs="仿宋_GB2312" w:eastAsia="仿宋_GB2312"/>
          <w:sz w:val="28"/>
          <w:b/>
        </w:rPr>
        <w:t>勉县农业技术推广与培训中心</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勉县农业技术推广与培训中心</w:t>
      </w:r>
      <w:r>
        <w:rPr>
          <w:rFonts w:ascii="仿宋_GB2312" w:hAnsi="仿宋_GB2312" w:cs="仿宋_GB2312" w:eastAsia="仿宋_GB2312"/>
        </w:rPr>
        <w:t>委托，拟对</w:t>
      </w:r>
      <w:r>
        <w:rPr>
          <w:rFonts w:ascii="仿宋_GB2312" w:hAnsi="仿宋_GB2312" w:cs="仿宋_GB2312" w:eastAsia="仿宋_GB2312"/>
        </w:rPr>
        <w:t>25年粮油绿色高效提单产物资</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SXJG[2025]46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25年粮油绿色高效提单产物资</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采购化肥一批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采购包1（25年粮油绿色高效提单产物资）：属于专门面向小微企业采购。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独立承担民事责任能力的法人、其他组织或自然人，法人、其他组织须提供合法有效的营业执照（或事业单位法人证书）等证明资料，自然人须提供身份证明（原件或加盖公章的复印件）；</w:t>
      </w:r>
    </w:p>
    <w:p>
      <w:pPr>
        <w:pStyle w:val="null3"/>
      </w:pPr>
      <w:r>
        <w:rPr>
          <w:rFonts w:ascii="仿宋_GB2312" w:hAnsi="仿宋_GB2312" w:cs="仿宋_GB2312" w:eastAsia="仿宋_GB2312"/>
        </w:rPr>
        <w:t>2、授权书：法定代表人授权书（附法定代表人、被授权人身份证复印件）及被授权人身份证原件（法定代表人直接参加招标，须提供法定代表人身份证明及身份证原件）；</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勉县农业技术推广与培训中心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勉县贾旗路12号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勉县农业技术推广与培训中心经办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3212501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汉中市北一环路格林豪泰酒店对面院子二楼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18992695527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采购包1：610,005.00元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开户名称：陕西建工项目管理有限公司汉中分公司</w:t>
            </w:r>
          </w:p>
          <w:p>
            <w:pPr>
              <w:pStyle w:val="null3"/>
            </w:pPr>
            <w:r>
              <w:rPr>
                <w:rFonts w:ascii="仿宋_GB2312" w:hAnsi="仿宋_GB2312" w:cs="仿宋_GB2312" w:eastAsia="仿宋_GB2312"/>
              </w:rPr>
              <w:t>开户银行：中国工商银行汉中市天台路支行</w:t>
            </w:r>
          </w:p>
          <w:p>
            <w:pPr>
              <w:pStyle w:val="null3"/>
            </w:pPr>
            <w:r>
              <w:rPr>
                <w:rFonts w:ascii="仿宋_GB2312" w:hAnsi="仿宋_GB2312" w:cs="仿宋_GB2312" w:eastAsia="仿宋_GB2312"/>
              </w:rPr>
              <w:t>银行账号：2606053809000080102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勉县农业技术推广与培训中心</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勉县农业技术推广与培训中心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勉县农业技术推广与培训中心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陕西建工项目管理有限公司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符合国家规范及行业标准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联系电话：18992695527</w:t>
      </w:r>
    </w:p>
    <w:p>
      <w:pPr>
        <w:pStyle w:val="null3"/>
      </w:pPr>
      <w:r>
        <w:rPr>
          <w:rFonts w:ascii="仿宋_GB2312" w:hAnsi="仿宋_GB2312" w:cs="仿宋_GB2312" w:eastAsia="仿宋_GB2312"/>
        </w:rPr>
        <w:t>地址：汉中市北一环路格林豪泰酒店对面院子二楼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采购化肥一批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610,005.00</w:t>
      </w:r>
    </w:p>
    <w:p>
      <w:pPr>
        <w:pStyle w:val="null3"/>
      </w:pPr>
      <w:r>
        <w:rPr>
          <w:rFonts w:ascii="仿宋_GB2312" w:hAnsi="仿宋_GB2312" w:cs="仿宋_GB2312" w:eastAsia="仿宋_GB2312"/>
        </w:rPr>
        <w:t>采购包最高限价（元）: 610,005.00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复合肥</w:t>
            </w:r>
          </w:p>
        </w:tc>
        <w:tc>
          <w:tcPr>
            <w:tcW w:type="dxa" w:w="831"/>
          </w:tcPr>
          <w:p>
            <w:pPr>
              <w:pStyle w:val="null3"/>
              <w:jc w:val="right"/>
            </w:pPr>
            <w:r>
              <w:rPr>
                <w:rFonts w:ascii="仿宋_GB2312" w:hAnsi="仿宋_GB2312" w:cs="仿宋_GB2312" w:eastAsia="仿宋_GB2312"/>
              </w:rPr>
              <w:t>165.00</w:t>
            </w:r>
          </w:p>
        </w:tc>
        <w:tc>
          <w:tcPr>
            <w:tcW w:type="dxa" w:w="831"/>
          </w:tcPr>
          <w:p>
            <w:pPr>
              <w:pStyle w:val="null3"/>
              <w:jc w:val="right"/>
            </w:pPr>
            <w:r>
              <w:rPr>
                <w:rFonts w:ascii="仿宋_GB2312" w:hAnsi="仿宋_GB2312" w:cs="仿宋_GB2312" w:eastAsia="仿宋_GB2312"/>
              </w:rPr>
              <w:t>610,005.00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标的名称：复合肥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、养分含量</w:t>
            </w:r>
            <w:r>
              <w:rPr>
                <w:rFonts w:ascii="仿宋_GB2312" w:hAnsi="仿宋_GB2312" w:cs="仿宋_GB2312" w:eastAsia="仿宋_GB2312"/>
                <w:sz w:val="28"/>
              </w:rPr>
              <w:t>:</w:t>
            </w:r>
            <w:r>
              <w:rPr>
                <w:rFonts w:ascii="仿宋_GB2312" w:hAnsi="仿宋_GB2312" w:cs="仿宋_GB2312" w:eastAsia="仿宋_GB2312"/>
                <w:sz w:val="28"/>
              </w:rPr>
              <w:t>氮、磷、钾</w:t>
            </w:r>
            <w:r>
              <w:rPr>
                <w:rFonts w:ascii="仿宋_GB2312" w:hAnsi="仿宋_GB2312" w:cs="仿宋_GB2312" w:eastAsia="仿宋_GB2312"/>
                <w:sz w:val="28"/>
              </w:rPr>
              <w:t>(N+P</w:t>
            </w:r>
            <w:r>
              <w:rPr>
                <w:rFonts w:ascii="仿宋_GB2312" w:hAnsi="仿宋_GB2312" w:cs="仿宋_GB2312" w:eastAsia="仿宋_GB2312"/>
                <w:sz w:val="28"/>
                <w:vertAlign w:val="subscript"/>
              </w:rPr>
              <w:t>2</w:t>
            </w:r>
            <w:r>
              <w:rPr>
                <w:rFonts w:ascii="仿宋_GB2312" w:hAnsi="仿宋_GB2312" w:cs="仿宋_GB2312" w:eastAsia="仿宋_GB2312"/>
                <w:sz w:val="28"/>
              </w:rPr>
              <w:t>0</w:t>
            </w:r>
            <w:r>
              <w:rPr>
                <w:rFonts w:ascii="仿宋_GB2312" w:hAnsi="仿宋_GB2312" w:cs="仿宋_GB2312" w:eastAsia="仿宋_GB2312"/>
                <w:sz w:val="28"/>
                <w:vertAlign w:val="subscript"/>
              </w:rPr>
              <w:t>5</w:t>
            </w:r>
            <w:r>
              <w:rPr>
                <w:rFonts w:ascii="仿宋_GB2312" w:hAnsi="仿宋_GB2312" w:cs="仿宋_GB2312" w:eastAsia="仿宋_GB2312"/>
                <w:sz w:val="28"/>
              </w:rPr>
              <w:t>+K</w:t>
            </w:r>
            <w:r>
              <w:rPr>
                <w:rFonts w:ascii="仿宋_GB2312" w:hAnsi="仿宋_GB2312" w:cs="仿宋_GB2312" w:eastAsia="仿宋_GB2312"/>
                <w:sz w:val="28"/>
                <w:vertAlign w:val="subscript"/>
              </w:rPr>
              <w:t>2</w:t>
            </w:r>
            <w:r>
              <w:rPr>
                <w:rFonts w:ascii="仿宋_GB2312" w:hAnsi="仿宋_GB2312" w:cs="仿宋_GB2312" w:eastAsia="仿宋_GB2312"/>
                <w:sz w:val="28"/>
              </w:rPr>
              <w:t>0)</w:t>
            </w:r>
            <w:r>
              <w:rPr>
                <w:rFonts w:ascii="仿宋_GB2312" w:hAnsi="仿宋_GB2312" w:cs="仿宋_GB2312" w:eastAsia="仿宋_GB2312"/>
                <w:sz w:val="28"/>
              </w:rPr>
              <w:t>总含量≥</w:t>
            </w:r>
            <w:r>
              <w:rPr>
                <w:rFonts w:ascii="仿宋_GB2312" w:hAnsi="仿宋_GB2312" w:cs="仿宋_GB2312" w:eastAsia="仿宋_GB2312"/>
                <w:sz w:val="28"/>
              </w:rPr>
              <w:t>40</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·其中</w:t>
            </w:r>
            <w:r>
              <w:rPr>
                <w:rFonts w:ascii="仿宋_GB2312" w:hAnsi="仿宋_GB2312" w:cs="仿宋_GB2312" w:eastAsia="仿宋_GB2312"/>
                <w:sz w:val="28"/>
              </w:rPr>
              <w:t>:N</w:t>
            </w:r>
            <w:r>
              <w:rPr>
                <w:rFonts w:ascii="仿宋_GB2312" w:hAnsi="仿宋_GB2312" w:cs="仿宋_GB2312" w:eastAsia="仿宋_GB2312"/>
                <w:sz w:val="28"/>
              </w:rPr>
              <w:t>≥</w:t>
            </w:r>
            <w:r>
              <w:rPr>
                <w:rFonts w:ascii="仿宋_GB2312" w:hAnsi="仿宋_GB2312" w:cs="仿宋_GB2312" w:eastAsia="仿宋_GB2312"/>
                <w:sz w:val="28"/>
              </w:rPr>
              <w:t>23</w:t>
            </w:r>
            <w:r>
              <w:rPr>
                <w:rFonts w:ascii="仿宋_GB2312" w:hAnsi="仿宋_GB2312" w:cs="仿宋_GB2312" w:eastAsia="仿宋_GB2312"/>
                <w:sz w:val="28"/>
              </w:rPr>
              <w:t>、</w:t>
            </w:r>
            <w:r>
              <w:rPr>
                <w:rFonts w:ascii="仿宋_GB2312" w:hAnsi="仿宋_GB2312" w:cs="仿宋_GB2312" w:eastAsia="仿宋_GB2312"/>
                <w:sz w:val="28"/>
              </w:rPr>
              <w:t>P</w:t>
            </w:r>
            <w:r>
              <w:rPr>
                <w:rFonts w:ascii="仿宋_GB2312" w:hAnsi="仿宋_GB2312" w:cs="仿宋_GB2312" w:eastAsia="仿宋_GB2312"/>
                <w:sz w:val="28"/>
                <w:vertAlign w:val="subscript"/>
              </w:rPr>
              <w:t>2</w:t>
            </w:r>
            <w:r>
              <w:rPr>
                <w:rFonts w:ascii="仿宋_GB2312" w:hAnsi="仿宋_GB2312" w:cs="仿宋_GB2312" w:eastAsia="仿宋_GB2312"/>
                <w:sz w:val="28"/>
              </w:rPr>
              <w:t>0</w:t>
            </w:r>
            <w:r>
              <w:rPr>
                <w:rFonts w:ascii="仿宋_GB2312" w:hAnsi="仿宋_GB2312" w:cs="仿宋_GB2312" w:eastAsia="仿宋_GB2312"/>
                <w:sz w:val="28"/>
                <w:vertAlign w:val="subscript"/>
              </w:rPr>
              <w:t>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K</w:t>
            </w:r>
            <w:r>
              <w:rPr>
                <w:rFonts w:ascii="仿宋_GB2312" w:hAnsi="仿宋_GB2312" w:cs="仿宋_GB2312" w:eastAsia="仿宋_GB2312"/>
                <w:sz w:val="28"/>
                <w:vertAlign w:val="subscript"/>
              </w:rPr>
              <w:t>2</w:t>
            </w:r>
            <w:r>
              <w:rPr>
                <w:rFonts w:ascii="仿宋_GB2312" w:hAnsi="仿宋_GB2312" w:cs="仿宋_GB2312" w:eastAsia="仿宋_GB2312"/>
                <w:sz w:val="28"/>
              </w:rPr>
              <w:t>0</w:t>
            </w: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、执行标准</w:t>
            </w:r>
            <w:r>
              <w:rPr>
                <w:rFonts w:ascii="仿宋_GB2312" w:hAnsi="仿宋_GB2312" w:cs="仿宋_GB2312" w:eastAsia="仿宋_GB2312"/>
                <w:sz w:val="28"/>
              </w:rPr>
              <w:t>:GB/T15063-2020</w:t>
            </w:r>
            <w:r>
              <w:rPr>
                <w:rFonts w:ascii="仿宋_GB2312" w:hAnsi="仿宋_GB2312" w:cs="仿宋_GB2312" w:eastAsia="仿宋_GB2312"/>
                <w:sz w:val="28"/>
              </w:rPr>
              <w:t>、</w:t>
            </w:r>
            <w:r>
              <w:rPr>
                <w:rFonts w:ascii="仿宋_GB2312" w:hAnsi="仿宋_GB2312" w:cs="仿宋_GB2312" w:eastAsia="仿宋_GB2312"/>
                <w:sz w:val="28"/>
              </w:rPr>
              <w:t>GB38400-2019</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、重金属限量要求</w:t>
            </w:r>
            <w:r>
              <w:rPr>
                <w:rFonts w:ascii="仿宋_GB2312" w:hAnsi="仿宋_GB2312" w:cs="仿宋_GB2312" w:eastAsia="仿宋_GB2312"/>
                <w:sz w:val="28"/>
              </w:rPr>
              <w:t>:</w:t>
            </w:r>
            <w:r>
              <w:rPr>
                <w:rFonts w:ascii="仿宋_GB2312" w:hAnsi="仿宋_GB2312" w:cs="仿宋_GB2312" w:eastAsia="仿宋_GB2312"/>
                <w:sz w:val="28"/>
              </w:rPr>
              <w:t>单位</w:t>
            </w:r>
            <w:r>
              <w:rPr>
                <w:rFonts w:ascii="仿宋_GB2312" w:hAnsi="仿宋_GB2312" w:cs="仿宋_GB2312" w:eastAsia="仿宋_GB2312"/>
                <w:sz w:val="28"/>
              </w:rPr>
              <w:t>:mg/kg</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总砷</w:t>
            </w:r>
            <w:r>
              <w:rPr>
                <w:rFonts w:ascii="仿宋_GB2312" w:hAnsi="仿宋_GB2312" w:cs="仿宋_GB2312" w:eastAsia="仿宋_GB2312"/>
                <w:sz w:val="28"/>
              </w:rPr>
              <w:t>(As)(</w:t>
            </w:r>
            <w:r>
              <w:rPr>
                <w:rFonts w:ascii="仿宋_GB2312" w:hAnsi="仿宋_GB2312" w:cs="仿宋_GB2312" w:eastAsia="仿宋_GB2312"/>
                <w:sz w:val="28"/>
              </w:rPr>
              <w:t>以烘干基计</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15:</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总汞</w:t>
            </w:r>
            <w:r>
              <w:rPr>
                <w:rFonts w:ascii="仿宋_GB2312" w:hAnsi="仿宋_GB2312" w:cs="仿宋_GB2312" w:eastAsia="仿宋_GB2312"/>
                <w:sz w:val="28"/>
              </w:rPr>
              <w:t>(Hg) (</w:t>
            </w:r>
            <w:r>
              <w:rPr>
                <w:rFonts w:ascii="仿宋_GB2312" w:hAnsi="仿宋_GB2312" w:cs="仿宋_GB2312" w:eastAsia="仿宋_GB2312"/>
                <w:sz w:val="28"/>
              </w:rPr>
              <w:t>以烘干基计</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总铅</w:t>
            </w:r>
            <w:r>
              <w:rPr>
                <w:rFonts w:ascii="仿宋_GB2312" w:hAnsi="仿宋_GB2312" w:cs="仿宋_GB2312" w:eastAsia="仿宋_GB2312"/>
                <w:sz w:val="28"/>
              </w:rPr>
              <w:t>(Pb) (</w:t>
            </w:r>
            <w:r>
              <w:rPr>
                <w:rFonts w:ascii="仿宋_GB2312" w:hAnsi="仿宋_GB2312" w:cs="仿宋_GB2312" w:eastAsia="仿宋_GB2312"/>
                <w:sz w:val="28"/>
              </w:rPr>
              <w:t>以烘干基计</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50;</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总铬</w:t>
            </w:r>
            <w:r>
              <w:rPr>
                <w:rFonts w:ascii="仿宋_GB2312" w:hAnsi="仿宋_GB2312" w:cs="仿宋_GB2312" w:eastAsia="仿宋_GB2312"/>
                <w:sz w:val="28"/>
              </w:rPr>
              <w:t>(Cr) (</w:t>
            </w:r>
            <w:r>
              <w:rPr>
                <w:rFonts w:ascii="仿宋_GB2312" w:hAnsi="仿宋_GB2312" w:cs="仿宋_GB2312" w:eastAsia="仿宋_GB2312"/>
                <w:sz w:val="28"/>
              </w:rPr>
              <w:t>以烘干基计</w:t>
            </w: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150:</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总镉</w:t>
            </w:r>
            <w:r>
              <w:rPr>
                <w:rFonts w:ascii="仿宋_GB2312" w:hAnsi="仿宋_GB2312" w:cs="仿宋_GB2312" w:eastAsia="仿宋_GB2312"/>
                <w:sz w:val="28"/>
              </w:rPr>
              <w:t>(Cd) (</w:t>
            </w:r>
            <w:r>
              <w:rPr>
                <w:rFonts w:ascii="仿宋_GB2312" w:hAnsi="仿宋_GB2312" w:cs="仿宋_GB2312" w:eastAsia="仿宋_GB2312"/>
                <w:sz w:val="28"/>
              </w:rPr>
              <w:t>以烘干基计</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总铊</w:t>
            </w:r>
            <w:r>
              <w:rPr>
                <w:rFonts w:ascii="仿宋_GB2312" w:hAnsi="仿宋_GB2312" w:cs="仿宋_GB2312" w:eastAsia="仿宋_GB2312"/>
                <w:sz w:val="28"/>
              </w:rPr>
              <w:t>(T1) (</w:t>
            </w:r>
            <w:r>
              <w:rPr>
                <w:rFonts w:ascii="仿宋_GB2312" w:hAnsi="仿宋_GB2312" w:cs="仿宋_GB2312" w:eastAsia="仿宋_GB2312"/>
                <w:sz w:val="28"/>
              </w:rPr>
              <w:t>以烘干基计</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2.5</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、包装规格</w:t>
            </w:r>
            <w:r>
              <w:rPr>
                <w:rFonts w:ascii="仿宋_GB2312" w:hAnsi="仿宋_GB2312" w:cs="仿宋_GB2312" w:eastAsia="仿宋_GB2312"/>
                <w:sz w:val="28"/>
              </w:rPr>
              <w:t>:25</w:t>
            </w:r>
            <w:r>
              <w:rPr>
                <w:rFonts w:ascii="仿宋_GB2312" w:hAnsi="仿宋_GB2312" w:cs="仿宋_GB2312" w:eastAsia="仿宋_GB2312"/>
                <w:sz w:val="28"/>
              </w:rPr>
              <w:t>千克</w:t>
            </w:r>
            <w:r>
              <w:rPr>
                <w:rFonts w:ascii="仿宋_GB2312" w:hAnsi="仿宋_GB2312" w:cs="仿宋_GB2312" w:eastAsia="仿宋_GB2312"/>
                <w:sz w:val="28"/>
              </w:rPr>
              <w:t>/</w:t>
            </w:r>
            <w:r>
              <w:rPr>
                <w:rFonts w:ascii="仿宋_GB2312" w:hAnsi="仿宋_GB2312" w:cs="仿宋_GB2312" w:eastAsia="仿宋_GB2312"/>
                <w:sz w:val="28"/>
              </w:rPr>
              <w:t>袋。</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、绿色环保认证产品。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符合国家规范及行业标准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符合国家规范及行业标准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参考《民法典》相关条款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供应商应是独立承担民事责任能力的法人、其他组织或自然人，法人、其他组织须提供合法有效的营业执照（或事业单位法人证书）等证明资料，自然人须提供身份证明（原件或加盖公章的复印件）；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w:t>
            </w:r>
          </w:p>
        </w:tc>
        <w:tc>
          <w:tcPr>
            <w:tcW w:type="dxa" w:w="1661"/>
          </w:tcPr>
          <w:p>
            <w:pPr>
              <w:pStyle w:val="null3"/>
            </w:pPr>
            <w:r>
              <w:rPr>
                <w:rFonts w:ascii="仿宋_GB2312" w:hAnsi="仿宋_GB2312" w:cs="仿宋_GB2312" w:eastAsia="仿宋_GB2312"/>
              </w:rPr>
              <w:t>资格文件.docx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1、谈判响应文件内容完整，采购要求响应内容齐全、无遗漏，商务及技术无偏离、无缺项。 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其他证明材料.docx 报价表 资格文件.docx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详见附件：资格文件.docx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