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版本号：ZZXH-HZ-04020250918001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2025年中央水利发展资金小型水库工程设施维修养护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ZZXH-HZ-040</w:t>
      </w:r>
      <w:r>
        <w:br/>
      </w:r>
      <w:r>
        <w:br/>
      </w:r>
      <w:r>
        <w:br/>
      </w:r>
    </w:p>
    <w:p>
      <w:pPr>
        <w:pStyle w:val="null3"/>
        <w:jc w:val="center"/>
        <w:outlineLvl w:val="2"/>
      </w:pPr>
      <w:r>
        <w:rPr>
          <w:rFonts w:ascii="仿宋_GB2312" w:hAnsi="仿宋_GB2312" w:cs="仿宋_GB2312" w:eastAsia="仿宋_GB2312"/>
          <w:sz w:val="28"/>
          <w:b/>
        </w:rPr>
        <w:t>勉县江河管理站</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勉县江河管理站</w:t>
      </w:r>
      <w:r>
        <w:rPr>
          <w:rFonts w:ascii="仿宋_GB2312" w:hAnsi="仿宋_GB2312" w:cs="仿宋_GB2312" w:eastAsia="仿宋_GB2312"/>
        </w:rPr>
        <w:t>委托，拟对</w:t>
      </w:r>
      <w:r>
        <w:rPr>
          <w:rFonts w:ascii="仿宋_GB2312" w:hAnsi="仿宋_GB2312" w:cs="仿宋_GB2312" w:eastAsia="仿宋_GB2312"/>
        </w:rPr>
        <w:t>2025年中央水利发展资金小型水库工程设施维修养护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ZZXH-HZ-040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2025年中央水利发展资金小型水库工程设施维修养护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本项目为:35座水库维修养护，具体内容详见工程量清单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采购包1（维修养护）：属于专门面向中小企业采购。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有效的主体资格证明： 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 授权代表身份证明： 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提供《汉中市政府采购供应商资格承诺函》。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国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据供</w:t>
      </w:r>
    </w:p>
    <w:p>
      <w:pPr>
        <w:pStyle w:val="null3"/>
      </w:pPr>
      <w:r>
        <w:rPr>
          <w:rFonts w:ascii="仿宋_GB2312" w:hAnsi="仿宋_GB2312" w:cs="仿宋_GB2312" w:eastAsia="仿宋_GB2312"/>
        </w:rPr>
        <w:t>4、企业资质：供应商须具有水利水电工程施工总承包三级及以上资质，并具有有效的安全生产许可证</w:t>
      </w:r>
    </w:p>
    <w:p>
      <w:pPr>
        <w:pStyle w:val="null3"/>
      </w:pPr>
      <w:r>
        <w:rPr>
          <w:rFonts w:ascii="仿宋_GB2312" w:hAnsi="仿宋_GB2312" w:cs="仿宋_GB2312" w:eastAsia="仿宋_GB2312"/>
        </w:rPr>
        <w:t>5、项目经理资质：拟派本项目的项目经理须具备水利水电工程专业二级及以上注册建造师，并持有效的安全生产考核合格证书，且无在建工程(出具无在建承诺书）。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勉县江河管理站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勉县江河管理站经办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18991625965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开户名称：中正信合项目管理有限公司汉中分公司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 0165 4200 0000 0558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 对公转入，甲方指定账户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代理服务费收费标准：参照国家计委关于印发《采购代理服务收遗管理者行办法的造知》(计价格[2002]1960号)、《国家发展改革委员会办公厅关于招标代理服务收费有关问题的通知》(发改 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勉县江河管理站</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勉县江河管理站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勉县江河管理站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联系人：程女士</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对勉县35座水库维修养护，具体详见工程量清单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589,796.09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维修养护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编制依据：按照《陕西省水利工程设计概（估）算编制规定》（2024年修正）（以下简称《编规》）和《陕西省水利建筑工程预算定额》（2024年修正）、《陕西省水利设备安装工程预算定额》（2024年修正）、《陕西省水利工程施工机械台班费定额》（2024年修正）(以下简称《系列定额》)等相关现行计价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满足工程建设需要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满足工程建设需要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符合国家现行有关施工质量验收规范“合格”要求，满足合同约定和设计文件要求（如图纸、技术交底、变更单等）。履约验收方案应当在合同中约定。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项目进场前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项目审定后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 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陕西省汉中市前进中路中航建筑设计院）。 3.如磋商文件中中小企业融资相关内容与新政策要求有出入，按照最新要求执行。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有效的主体资格证明</w:t>
            </w:r>
          </w:p>
        </w:tc>
        <w:tc>
          <w:tcPr>
            <w:tcW w:type="dxa" w:w="3322"/>
          </w:tcPr>
          <w:p>
            <w:pPr>
              <w:pStyle w:val="null3"/>
            </w:pPr>
            <w:r>
              <w:rPr>
                <w:rFonts w:ascii="仿宋_GB2312" w:hAnsi="仿宋_GB2312" w:cs="仿宋_GB2312" w:eastAsia="仿宋_GB2312"/>
              </w:rPr>
              <w:t xml:space="preserve"> 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授权代表身份证明</w:t>
            </w:r>
          </w:p>
        </w:tc>
        <w:tc>
          <w:tcPr>
            <w:tcW w:type="dxa" w:w="3322"/>
          </w:tcPr>
          <w:p>
            <w:pPr>
              <w:pStyle w:val="null3"/>
            </w:pPr>
            <w:r>
              <w:rPr>
                <w:rFonts w:ascii="仿宋_GB2312" w:hAnsi="仿宋_GB2312" w:cs="仿宋_GB2312" w:eastAsia="仿宋_GB2312"/>
              </w:rPr>
              <w:t xml:space="preserve"> 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供应商提供《汉中市政府采购供应商资格承诺函》。注:若供应商未提供《汉中市政府采购供应商资格承诺函》，应当按照《中华人民共和国政府采购法》及其实施条例等相关法律法规规定，提供相应的证明材料: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国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据供</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供应商须具有水利水电工程施工总承包三级及以上资质，并具有有效的安全生产许可证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拟派本项目的项目经理须具备水利水电工程专业二级及以上注册建造师，并持有效的安全生产考核合格证书，且无在建工程(出具无在建承诺书）。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工程量清单.pdf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中小企业声明函 业绩一览表.pdf 报价表 工程量清单.pdf 拟投入本工程的主要施工设备表.pdf 项目经理简介表.pdf 响应文件封面 商务要求应答表.pdf 拟派团队人员配置表.pdf 残疾人福利性单位声明函 供应商应提交的相关资格证明材料.pdf 标的清单 实施方案.pdf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报价</w:t>
            </w:r>
          </w:p>
        </w:tc>
        <w:tc>
          <w:tcPr>
            <w:tcW w:type="dxa" w:w="3322"/>
          </w:tcPr>
          <w:p>
            <w:pPr>
              <w:pStyle w:val="null3"/>
            </w:pPr>
            <w:r>
              <w:rPr>
                <w:rFonts w:ascii="仿宋_GB2312" w:hAnsi="仿宋_GB2312" w:cs="仿宋_GB2312" w:eastAsia="仿宋_GB2312"/>
              </w:rPr>
              <w:t xml:space="preserve"> 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 响应函 工程量清单.pdf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 xml:space="preserve"> 缴纳了本项目投标保证金</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中小企业声明函 业绩一览表.pdf 报价表 工程量清单.pdf 响应文件封面 拟投入本工程的主要施工设备表.pdf 项目经理简介表.pdf 商务要求应答表.pdf 拟派团队人员配置表.pdf 残疾人福利性单位声明函 供应商应提交的相关资格证明材料.pdf 标的清单 实施方案.pdf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施工方案技术措施</w:t>
            </w:r>
          </w:p>
        </w:tc>
        <w:tc>
          <w:tcPr>
            <w:tcW w:type="dxa" w:w="2492"/>
          </w:tcPr>
          <w:p>
            <w:pPr>
              <w:pStyle w:val="null3"/>
            </w:pPr>
            <w:r>
              <w:rPr>
                <w:rFonts w:ascii="仿宋_GB2312" w:hAnsi="仿宋_GB2312" w:cs="仿宋_GB2312" w:eastAsia="仿宋_GB2312"/>
              </w:rPr>
              <w:t xml:space="preserve"> 针对本项目提供的施工方案技术措施进行综合评审。 1.实施方案详细、可行，完全满足项目实施的得8.1-12分； 2.实施方案较详细、较可行，较满足项目实施的得4.1-8分； 3.实施方案基本详细、基本可行，基本满足项目实施的得1-4分； 4.未提供此项内容不得分。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针对本项目提供的施工安全保证措施进行综合评审。 1.安全管理目标明确，安全保证措施合理、可行得7.1-10分； 2.安全管理目标较明确，安全保证措施较合理、较可行得3.1-7分； 3.安全管理目标基本明确，安全保证措施基本合理、基本可行得1-3分；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 xml:space="preserve"> 针对本项目提供的文明施工措施及环境保障措施进行综合评审。 1.措施合理，完全满足项目实施得7.1-10分； 2.措施较合理，较满足项目实施得3.1-7分； 3.措施基本合理，基本满足项目实施得1-3分；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 xml:space="preserve"> 针对本项目工期的技术组织措施进行综合评审。 1.技术组织措施详细，工期进度保证措施合理得4.1-7分；2.技术组织措施较详细，工期进度保证措施较合理得2.1-4分；3.技术组织措施基本详细，工期进度保证措施基本合理得1-2分；4.未提供此项内容不得分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针对拟投入本项目的主要施工机械设备配置情况进行综合评审。 1.施工设备配备齐全，合理得4.1-7分；2.施工设备配备较齐全，较合理得2.1-4分；3.施工设备配备基本齐全，基本合理得1-2分；4.未提供此项内容不得分。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针对本项目质量目标及措施进行综合评审。 1.质量目标明确，措施合理得4.1-7分；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针对本项目质量目标及措施进行综合评审。 1.质量目标明确，措施合理得4.1-7分；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项目经理简介表.pdf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项目经理具备高级职称得3分，中级职称得2分，其他不得分。 注：响应文件内附职称证复印件并加盖公章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项目经理简介表.pdf</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1.项目团队人员配备合理，分工明确，职责清晰得5.1-7分；2.项目团队人员配备较合理，分工较明确，职责较清晰得2.1-5分；3.项目团队人员配备基本合理，分工基本明确，职责基本清晰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供应商提供2022年9月至今完成的类似项目业绩，每提供一个合格业绩得2.5分，满分5分。未提供此项内容不得分。 注：业绩以合同（协议书)为准，响应文件内附复印件并加盖公章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商务要求应答表.pdf</w:t>
            </w:r>
          </w:p>
          <w:p>
            <w:pPr>
              <w:pStyle w:val="null3"/>
            </w:pPr>
            <w:r>
              <w:rPr>
                <w:rFonts w:ascii="仿宋_GB2312" w:hAnsi="仿宋_GB2312" w:cs="仿宋_GB2312" w:eastAsia="仿宋_GB2312"/>
              </w:rPr>
              <w:t>实施方案.pdf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详见附件：拟投入本工程的主要施工设备表.pdf</w:t>
      </w:r>
    </w:p>
    <w:p>
      <w:pPr>
        <w:pStyle w:val="null3"/>
        <w:ind w:firstLine="960"/>
      </w:pPr>
      <w:r>
        <w:rPr>
          <w:rFonts w:ascii="仿宋_GB2312" w:hAnsi="仿宋_GB2312" w:cs="仿宋_GB2312" w:eastAsia="仿宋_GB2312"/>
        </w:rPr>
        <w:t>详见附件：商务要求应答表.pdf</w:t>
      </w:r>
    </w:p>
    <w:p>
      <w:pPr>
        <w:pStyle w:val="null3"/>
        <w:ind w:firstLine="960"/>
      </w:pPr>
      <w:r>
        <w:rPr>
          <w:rFonts w:ascii="仿宋_GB2312" w:hAnsi="仿宋_GB2312" w:cs="仿宋_GB2312" w:eastAsia="仿宋_GB2312"/>
        </w:rPr>
        <w:t>详见附件：实施方案.pdf</w:t>
      </w:r>
    </w:p>
    <w:p>
      <w:pPr>
        <w:pStyle w:val="null3"/>
        <w:ind w:firstLine="960"/>
      </w:pPr>
      <w:r>
        <w:rPr>
          <w:rFonts w:ascii="仿宋_GB2312" w:hAnsi="仿宋_GB2312" w:cs="仿宋_GB2312" w:eastAsia="仿宋_GB2312"/>
        </w:rPr>
        <w:t>详见附件：项目经理简介表.pdf</w:t>
      </w:r>
    </w:p>
    <w:p>
      <w:pPr>
        <w:pStyle w:val="null3"/>
        <w:ind w:firstLine="960"/>
      </w:pPr>
      <w:r>
        <w:rPr>
          <w:rFonts w:ascii="仿宋_GB2312" w:hAnsi="仿宋_GB2312" w:cs="仿宋_GB2312" w:eastAsia="仿宋_GB2312"/>
        </w:rPr>
        <w:t>详见附件：业绩一览表.pdf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