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版本号：ZCBN-勉县-2025-0002420251027002</w:t>
      </w:r>
      <w:r>
        <w:br/>
      </w:r>
      <w:r>
        <w:br/>
      </w:r>
      <w:r>
        <w:br/>
      </w:r>
      <w:r>
        <w:br/>
      </w:r>
      <w:r>
        <w:br/>
      </w:r>
    </w:p>
    <w:p>
      <w:pPr>
        <w:pStyle w:val="null3"/>
        <w:jc w:val="center"/>
        <w:outlineLvl w:val="0"/>
      </w:pPr>
      <w:r>
        <w:rPr>
          <w:rFonts w:ascii="仿宋_GB2312" w:hAnsi="仿宋_GB2312" w:cs="仿宋_GB2312" w:eastAsia="仿宋_GB2312"/>
          <w:sz w:val="48"/>
          <w:b/>
        </w:rPr>
        <w:t>询价通知书</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电脑设备购置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ZCBN-勉县-2025-00024</w:t>
      </w:r>
      <w:r>
        <w:br/>
      </w:r>
      <w:r>
        <w:br/>
      </w:r>
      <w:r>
        <w:br/>
      </w:r>
    </w:p>
    <w:p>
      <w:pPr>
        <w:pStyle w:val="null3"/>
        <w:jc w:val="center"/>
        <w:outlineLvl w:val="2"/>
      </w:pPr>
      <w:r>
        <w:rPr>
          <w:rFonts w:ascii="仿宋_GB2312" w:hAnsi="仿宋_GB2312" w:cs="仿宋_GB2312" w:eastAsia="仿宋_GB2312"/>
          <w:sz w:val="28"/>
          <w:b/>
        </w:rPr>
        <w:t>勉县勉阳街道办中心小学</w:t>
      </w:r>
    </w:p>
    <w:p>
      <w:pPr>
        <w:pStyle w:val="null3"/>
        <w:jc w:val="center"/>
        <w:outlineLvl w:val="2"/>
      </w:pPr>
      <w:r>
        <w:rPr>
          <w:rFonts w:ascii="仿宋_GB2312" w:hAnsi="仿宋_GB2312" w:cs="仿宋_GB2312" w:eastAsia="仿宋_GB2312"/>
          <w:sz w:val="28"/>
          <w:b/>
        </w:rPr>
        <w:t>勉县政府采购中心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第一章 询价邀请</w:t>
      </w:r>
    </w:p>
    <w:p>
      <w:pPr>
        <w:pStyle w:val="null3"/>
        <w:ind w:firstLine="480"/>
      </w:pPr>
      <w:r>
        <w:rPr>
          <w:rFonts w:ascii="仿宋_GB2312" w:hAnsi="仿宋_GB2312" w:cs="仿宋_GB2312" w:eastAsia="仿宋_GB2312"/>
        </w:rPr>
        <w:t>勉县政府采购中心</w:t>
      </w:r>
      <w:r>
        <w:rPr>
          <w:rFonts w:ascii="仿宋_GB2312" w:hAnsi="仿宋_GB2312" w:cs="仿宋_GB2312" w:eastAsia="仿宋_GB2312"/>
        </w:rPr>
        <w:t>（以下简称“代理机构”）受</w:t>
      </w:r>
      <w:r>
        <w:rPr>
          <w:rFonts w:ascii="仿宋_GB2312" w:hAnsi="仿宋_GB2312" w:cs="仿宋_GB2312" w:eastAsia="仿宋_GB2312"/>
        </w:rPr>
        <w:t>勉县勉阳街道办中心小学</w:t>
      </w:r>
      <w:r>
        <w:rPr>
          <w:rFonts w:ascii="仿宋_GB2312" w:hAnsi="仿宋_GB2312" w:cs="仿宋_GB2312" w:eastAsia="仿宋_GB2312"/>
        </w:rPr>
        <w:t>委托，拟对</w:t>
      </w:r>
      <w:r>
        <w:rPr>
          <w:rFonts w:ascii="仿宋_GB2312" w:hAnsi="仿宋_GB2312" w:cs="仿宋_GB2312" w:eastAsia="仿宋_GB2312"/>
        </w:rPr>
        <w:t>电脑设备购置</w:t>
      </w:r>
      <w:r>
        <w:rPr>
          <w:rFonts w:ascii="仿宋_GB2312" w:hAnsi="仿宋_GB2312" w:cs="仿宋_GB2312" w:eastAsia="仿宋_GB2312"/>
        </w:rPr>
        <w:t>进行询价采购，兹邀请供应商参加询价。</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ZCBN-勉县-2025-00024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电脑设备购置</w:t>
      </w:r>
    </w:p>
    <w:p>
      <w:pPr>
        <w:pStyle w:val="null3"/>
        <w:outlineLvl w:val="2"/>
      </w:pPr>
      <w:r>
        <w:rPr>
          <w:rFonts w:ascii="仿宋_GB2312" w:hAnsi="仿宋_GB2312" w:cs="仿宋_GB2312" w:eastAsia="仿宋_GB2312"/>
          <w:sz w:val="28"/>
          <w:b/>
        </w:rPr>
        <w:t>三、项目简介</w:t>
      </w:r>
    </w:p>
    <w:p>
      <w:pPr>
        <w:pStyle w:val="null3"/>
        <w:ind w:firstLine="480"/>
      </w:pPr>
      <w:r>
        <w:rPr>
          <w:rFonts w:ascii="仿宋_GB2312" w:hAnsi="仿宋_GB2312" w:cs="仿宋_GB2312" w:eastAsia="仿宋_GB2312"/>
        </w:rPr>
        <w:t>采购台式计算机89台，价格控制在40万以内，系统为国产品牌。详细参数见附件。</w:t>
      </w:r>
    </w:p>
    <w:p>
      <w:pPr>
        <w:pStyle w:val="null3"/>
        <w:outlineLvl w:val="2"/>
      </w:pPr>
      <w:r>
        <w:rPr>
          <w:rFonts w:ascii="仿宋_GB2312" w:hAnsi="仿宋_GB2312" w:cs="仿宋_GB2312" w:eastAsia="仿宋_GB2312"/>
          <w:sz w:val="28"/>
          <w:b/>
        </w:rPr>
        <w:t>四、邀请供应商方式</w:t>
      </w:r>
    </w:p>
    <w:p>
      <w:pPr>
        <w:pStyle w:val="null3"/>
      </w:pPr>
      <w:r>
        <w:rPr>
          <w:rFonts w:ascii="仿宋_GB2312" w:hAnsi="仿宋_GB2312" w:cs="仿宋_GB2312" w:eastAsia="仿宋_GB2312"/>
        </w:rPr>
        <w:t>本次采购采取公告征集邀请询价的供应商。</w:t>
      </w:r>
    </w:p>
    <w:p>
      <w:pPr>
        <w:pStyle w:val="null3"/>
      </w:pPr>
      <w:r>
        <w:rPr>
          <w:rFonts w:ascii="仿宋_GB2312" w:hAnsi="仿宋_GB2312" w:cs="仿宋_GB2312" w:eastAsia="仿宋_GB2312"/>
        </w:rPr>
        <w:t xml:space="preserve"> 公告征集：本次询价采购在“陕西省政府采购网（www.ccgp-shaanxi.gov.cn）”上以公告形式发布，兹邀请符合本次采购要求的供应商参加本项目询价采购。</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1、《非联合体投标不分包声明函》：本项目不接受联合体且成交后不得分包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七、询价通知书获取时间、方式及地址</w:t>
      </w:r>
    </w:p>
    <w:p>
      <w:pPr>
        <w:pStyle w:val="null3"/>
        <w:ind w:firstLine="480"/>
      </w:pPr>
      <w:r>
        <w:rPr>
          <w:rFonts w:ascii="仿宋_GB2312" w:hAnsi="仿宋_GB2312" w:cs="仿宋_GB2312" w:eastAsia="仿宋_GB2312"/>
        </w:rPr>
        <w:t>（一）询价通知书获取时间：详见采购公告。</w:t>
      </w:r>
    </w:p>
    <w:p>
      <w:pPr>
        <w:pStyle w:val="null3"/>
        <w:ind w:firstLine="480"/>
      </w:pPr>
      <w:r>
        <w:rPr>
          <w:rFonts w:ascii="仿宋_GB2312" w:hAnsi="仿宋_GB2312" w:cs="仿宋_GB2312" w:eastAsia="仿宋_GB2312"/>
        </w:rPr>
        <w:t xml:space="preserve"> （二）在询价通知书获取开始时间前，采购人或代理机构将本项目询价通知书上传至项目电子化交易系统，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rFonts w:ascii="仿宋_GB2312" w:hAnsi="仿宋_GB2312" w:cs="仿宋_GB2312" w:eastAsia="仿宋_GB2312"/>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澄清或者修改后的询价通知书发布日期距提交响应文件截止日期不足3个工作日的，采购人或代理机构顺延提交响应文件的截止时间。供应商未重新获取询价通知书或者未按照澄清或者修改后的询价通知书编制响应文件进行响应的，自行承担不利后果。</w:t>
      </w:r>
    </w:p>
    <w:p>
      <w:pPr>
        <w:pStyle w:val="null3"/>
        <w:ind w:firstLine="480"/>
      </w:pPr>
      <w:r>
        <w:rPr>
          <w:rFonts w:ascii="仿宋_GB2312" w:hAnsi="仿宋_GB2312" w:cs="仿宋_GB2312" w:eastAsia="仿宋_GB2312"/>
        </w:rPr>
        <w:t>注：获取的询价通知书主体格式包括pdf、word两种格式版本，其中以pdf格式为准。</w:t>
      </w:r>
    </w:p>
    <w:p>
      <w:pPr>
        <w:pStyle w:val="null3"/>
        <w:outlineLvl w:val="2"/>
      </w:pPr>
      <w:r>
        <w:rPr>
          <w:rFonts w:ascii="仿宋_GB2312" w:hAnsi="仿宋_GB2312" w:cs="仿宋_GB2312" w:eastAsia="仿宋_GB2312"/>
          <w:sz w:val="28"/>
          <w:b/>
        </w:rPr>
        <w:t>八、响应文件提交截止时间及开启时间（北京时间）、地点、方式</w:t>
      </w:r>
    </w:p>
    <w:p>
      <w:pPr>
        <w:pStyle w:val="null3"/>
        <w:ind w:firstLine="480"/>
      </w:pPr>
      <w:r>
        <w:rPr>
          <w:rFonts w:ascii="仿宋_GB2312" w:hAnsi="仿宋_GB2312" w:cs="仿宋_GB2312" w:eastAsia="仿宋_GB2312"/>
        </w:rPr>
        <w:t>（一）响应文件提交截止时间及开启时间：详见采购公告。</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（三）本项目采取网上开启，即采购人或代理机构通过项目电子化交易系统“开标/开启大厅”组织在线开启。</w:t>
      </w:r>
    </w:p>
    <w:p>
      <w:pPr>
        <w:pStyle w:val="null3"/>
        <w:outlineLvl w:val="2"/>
      </w:pPr>
      <w:r>
        <w:rPr>
          <w:rFonts w:ascii="仿宋_GB2312" w:hAnsi="仿宋_GB2312" w:cs="仿宋_GB2312" w:eastAsia="仿宋_GB2312"/>
          <w:sz w:val="28"/>
          <w:b/>
        </w:rPr>
        <w:t>九、本询价邀请在陕西省政府采购网以公告形式发布</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勉县勉阳街道办中心小学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勉县勉阳街道办高潮社区二组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勉县勉阳街道办中心小学经办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0916-3215599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勉县政府采购中心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陕西省汉中市勉县勉县勉阳街道办和平路东风转盘财政局六楼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勉县政府采购中心经办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0916-8652885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采购管理股经办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0916-8652188</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供应商的采购包响应报价高于采购包采购预算的，其响应文件将按无效处理。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如以联合体响应的，联合体各方均应当具备本询价通知书要求的资格条件和能力。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（2）询价通知书对供应商资格条件有特殊要求的，联合体各个成员都应当具备规定的相应资格条件。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电子计算机</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rFonts w:ascii="仿宋_GB2312" w:hAnsi="仿宋_GB2312" w:cs="仿宋_GB2312" w:eastAsia="仿宋_GB2312"/>
              </w:rPr>
              <w:t xml:space="preserve"> 核心产品清单详见第三章。</w:t>
            </w:r>
          </w:p>
          <w:p>
            <w:pPr>
              <w:pStyle w:val="null3"/>
            </w:pPr>
            <w:r>
              <w:rPr>
                <w:rFonts w:ascii="仿宋_GB2312" w:hAnsi="仿宋_GB2312" w:cs="仿宋_GB2312" w:eastAsia="仿宋_GB2312"/>
              </w:rPr>
              <w:t xml:space="preserve"> 在符合性审查环节提供核心产品品牌不足3个的，视为有效响应供应商不足3家。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w:t>
            </w:r>
          </w:p>
          <w:p>
            <w:pPr>
              <w:pStyle w:val="null3"/>
            </w:pP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开启方式</w:t>
            </w:r>
          </w:p>
        </w:tc>
        <w:tc>
          <w:tcPr>
            <w:tcW w:type="dxa" w:w="5004"/>
          </w:tcPr>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一、本询价通知书仅适用于本次询价采购项目。</w:t>
      </w:r>
    </w:p>
    <w:p>
      <w:pPr>
        <w:pStyle w:val="null3"/>
        <w:ind w:firstLine="480"/>
      </w:pPr>
      <w:r>
        <w:rPr>
          <w:rFonts w:ascii="仿宋_GB2312" w:hAnsi="仿宋_GB2312" w:cs="仿宋_GB2312" w:eastAsia="仿宋_GB2312"/>
        </w:rPr>
        <w:t xml:space="preserve"> 二、本询价通知书的最终解释权由</w:t>
      </w:r>
      <w:r>
        <w:rPr>
          <w:rFonts w:ascii="仿宋_GB2312" w:hAnsi="仿宋_GB2312" w:cs="仿宋_GB2312" w:eastAsia="仿宋_GB2312"/>
        </w:rPr>
        <w:t>勉县勉阳街道办中心小学</w:t>
      </w:r>
      <w:r>
        <w:rPr>
          <w:rFonts w:ascii="仿宋_GB2312" w:hAnsi="仿宋_GB2312" w:cs="仿宋_GB2312" w:eastAsia="仿宋_GB2312"/>
        </w:rPr>
        <w:t>和</w:t>
      </w:r>
      <w:r>
        <w:rPr>
          <w:rFonts w:ascii="仿宋_GB2312" w:hAnsi="仿宋_GB2312" w:cs="仿宋_GB2312" w:eastAsia="仿宋_GB2312"/>
        </w:rPr>
        <w:t>勉县政府采购中心</w:t>
      </w:r>
      <w:r>
        <w:rPr>
          <w:rFonts w:ascii="仿宋_GB2312" w:hAnsi="仿宋_GB2312" w:cs="仿宋_GB2312" w:eastAsia="仿宋_GB2312"/>
        </w:rPr>
        <w:t>享有。询价通知书中供应商参加本次政府采购活动应当具备的条件、技术、服务、商务及其他要求由采购人负责解释。除前述询价通知书内容，其他内容</w:t>
      </w:r>
      <w:r>
        <w:rPr>
          <w:rFonts w:ascii="仿宋_GB2312" w:hAnsi="仿宋_GB2312" w:cs="仿宋_GB2312" w:eastAsia="仿宋_GB2312"/>
        </w:rPr>
        <w:t>勉县政府采购中心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一、“采购人”是指依法进行政府采购的各级国家机关、事业单位、团体组织。本次询价采购项目的采购人是</w:t>
      </w:r>
      <w:r>
        <w:rPr>
          <w:rFonts w:ascii="仿宋_GB2312" w:hAnsi="仿宋_GB2312" w:cs="仿宋_GB2312" w:eastAsia="仿宋_GB2312"/>
        </w:rPr>
        <w:t>勉县勉阳街道办中心小学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二、“供应商”是指按照本项目询价通知书规定获取询价通知书，拟参加响应和向采购人提供货物、工程或服务的法人、其他组织或自然人。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勉县政府采购中心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rFonts w:ascii="仿宋_GB2312" w:hAnsi="仿宋_GB2312" w:cs="仿宋_GB2312" w:eastAsia="仿宋_GB2312"/>
        </w:rPr>
        <w:t xml:space="preserve"> 五、“电子评审”是指通过项目电子化交易系统在线完成资格审查小组和询价小组组建，开展资格和符合性审查、比较与评价、出具评审报告、推荐成交候选供应商等活动。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2.3询价通知书</w:t>
      </w:r>
    </w:p>
    <w:p>
      <w:pPr>
        <w:pStyle w:val="null3"/>
        <w:outlineLvl w:val="3"/>
      </w:pPr>
      <w:r>
        <w:rPr>
          <w:rFonts w:ascii="仿宋_GB2312" w:hAnsi="仿宋_GB2312" w:cs="仿宋_GB2312" w:eastAsia="仿宋_GB2312"/>
          <w:sz w:val="24"/>
          <w:b/>
        </w:rPr>
        <w:t xml:space="preserve"> 2.3.1询价通知书的构成</w:t>
      </w:r>
    </w:p>
    <w:p>
      <w:pPr>
        <w:pStyle w:val="null3"/>
        <w:ind w:firstLine="480"/>
      </w:pPr>
      <w:r>
        <w:rPr>
          <w:rFonts w:ascii="仿宋_GB2312" w:hAnsi="仿宋_GB2312" w:cs="仿宋_GB2312" w:eastAsia="仿宋_GB2312"/>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rFonts w:ascii="仿宋_GB2312" w:hAnsi="仿宋_GB2312" w:cs="仿宋_GB2312" w:eastAsia="仿宋_GB2312"/>
        </w:rPr>
        <w:t>（一）询价邀请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（五）询价方法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rFonts w:ascii="仿宋_GB2312" w:hAnsi="仿宋_GB2312" w:cs="仿宋_GB2312" w:eastAsia="仿宋_GB2312"/>
          <w:sz w:val="24"/>
          <w:b/>
        </w:rPr>
        <w:t xml:space="preserve"> 2.3.2询价通知书的澄清和修改</w:t>
      </w:r>
    </w:p>
    <w:p>
      <w:pPr>
        <w:pStyle w:val="null3"/>
        <w:ind w:firstLine="480"/>
      </w:pPr>
      <w:r>
        <w:rPr>
          <w:rFonts w:ascii="仿宋_GB2312" w:hAnsi="仿宋_GB2312" w:cs="仿宋_GB2312" w:eastAsia="仿宋_GB2312"/>
        </w:rPr>
        <w:t>一、在响应文件提交截止时间前，采购人或者代理机构可以对已发出的询价通知书进行必要的澄清或者修改。</w:t>
      </w:r>
    </w:p>
    <w:p>
      <w:pPr>
        <w:pStyle w:val="null3"/>
        <w:ind w:firstLine="480"/>
      </w:pPr>
      <w:r>
        <w:rPr>
          <w:rFonts w:ascii="仿宋_GB2312" w:hAnsi="仿宋_GB2312" w:cs="仿宋_GB2312" w:eastAsia="仿宋_GB2312"/>
        </w:rPr>
        <w:t xml:space="preserve"> 二、澄清或者修改的内容为询价通知书的组成部分。采购人或代理机构将在陕西省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除询价通知书中另有规定外，本项目均采用国家法定的计量单位。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三、如采用供应商所不拥有的知识产权，则在报价中必须包括合法获取使用该知识产权的相关费用。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一、供应商应按照询价通知书的规定和要求编制响应文件。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一、供应商应按照询价通知书第六章中提供的“响应文件格式”填写相关内容。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三、通过资格审查和符合性审查供应商的响应文件中的报价表或分项报价明细表是一次性不可更改的报价。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一、响应文件应当根据询价通知书进行编制。供应商应通过陕西省政府采购网-办事指南-CA及签章服务下载响应客户端，使用客户端编制响应文件。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2.5.开启、资格审查、询价和成交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一、本项目为网上询价项目。网上开启的开始时间为响应文件提交截止时间。成功提交或解密电子响应文件的供应商不足3家的，不予开启，采购人或代理机构将终止采购活动。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响应文件提交截止时间前30分钟，供应商登录项目电子化交易系统-“开标/开启大厅”参与开启。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详见询价通知书第四章。</w:t>
      </w:r>
    </w:p>
    <w:p>
      <w:pPr>
        <w:pStyle w:val="null3"/>
        <w:outlineLvl w:val="3"/>
      </w:pPr>
      <w:r>
        <w:rPr>
          <w:rFonts w:ascii="仿宋_GB2312" w:hAnsi="仿宋_GB2312" w:cs="仿宋_GB2312" w:eastAsia="仿宋_GB2312"/>
          <w:sz w:val="24"/>
          <w:b/>
        </w:rPr>
        <w:t>2.5.4询价</w:t>
      </w:r>
    </w:p>
    <w:p>
      <w:pPr>
        <w:pStyle w:val="null3"/>
        <w:ind w:firstLine="480"/>
      </w:pPr>
      <w:r>
        <w:rPr>
          <w:rFonts w:ascii="仿宋_GB2312" w:hAnsi="仿宋_GB2312" w:cs="仿宋_GB2312" w:eastAsia="仿宋_GB2312"/>
        </w:rPr>
        <w:t>详见询价通知书第五章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一、采购人或者询价小组确认成交供应商后，代理机构在陕西省政府采购网发布成交结果公告、通过项目电子化交易系统发出成交通知书，成交供应商通过项目电子化交易系统获取成交通知书。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二、采购人和成交供应商签订的采购合同不得对询价通知书确定的事项以及成交供应商的响应文件作实质性修改。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严格执行附件标准，详见采购合同。</w:t>
      </w:r>
    </w:p>
    <w:p>
      <w:pPr>
        <w:pStyle w:val="null3"/>
        <w:outlineLvl w:val="2"/>
      </w:pPr>
      <w:r>
        <w:rPr>
          <w:rFonts w:ascii="仿宋_GB2312" w:hAnsi="仿宋_GB2312" w:cs="仿宋_GB2312" w:eastAsia="仿宋_GB2312"/>
          <w:sz w:val="28"/>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2.7询价采购工作纪律及要求</w:t>
      </w:r>
    </w:p>
    <w:p>
      <w:pPr>
        <w:pStyle w:val="null3"/>
        <w:outlineLvl w:val="3"/>
      </w:pPr>
      <w:r>
        <w:rPr>
          <w:rFonts w:ascii="仿宋_GB2312" w:hAnsi="仿宋_GB2312" w:cs="仿宋_GB2312" w:eastAsia="仿宋_GB2312"/>
          <w:sz w:val="24"/>
          <w:b/>
        </w:rPr>
        <w:t xml:space="preserve"> 2.7.1供应商不得具有的情形（实质性要求）</w:t>
      </w:r>
    </w:p>
    <w:p>
      <w:pPr>
        <w:pStyle w:val="null3"/>
        <w:ind w:firstLine="480"/>
      </w:pPr>
      <w:r>
        <w:rPr>
          <w:rFonts w:ascii="仿宋_GB2312" w:hAnsi="仿宋_GB2312" w:cs="仿宋_GB2312" w:eastAsia="仿宋_GB2312"/>
        </w:rPr>
        <w:t>供应商参加询价不得有下列情形：</w:t>
      </w:r>
    </w:p>
    <w:p>
      <w:pPr>
        <w:pStyle w:val="null3"/>
        <w:ind w:firstLine="480"/>
      </w:pPr>
      <w:r>
        <w:rPr>
          <w:rFonts w:ascii="仿宋_GB2312" w:hAnsi="仿宋_GB2312" w:cs="仿宋_GB2312" w:eastAsia="仿宋_GB2312"/>
        </w:rPr>
        <w:t>一、有下列情形之一的，视为供应商串通询价：</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（二）不同供应商委托同一单位或者个人办理询价事宜；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五、向采购人或代理机构、询价小组成员行贿或者提供其他不正当利益；</w:t>
      </w:r>
    </w:p>
    <w:p>
      <w:pPr>
        <w:pStyle w:val="null3"/>
        <w:ind w:firstLine="480"/>
      </w:pPr>
      <w:r>
        <w:rPr>
          <w:rFonts w:ascii="仿宋_GB2312" w:hAnsi="仿宋_GB2312" w:cs="仿宋_GB2312" w:eastAsia="仿宋_GB2312"/>
        </w:rPr>
        <w:t>六、在询价过程中与采购人或代理机构进行协商谈判；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八、未按照询价通知书确定的事项签订政府采购合同；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根据委托代理协议约定，供应商对询价通知书的询问、质疑由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（五）针对质疑事项必要的证明材料（针对询价通知书提出的质疑，需提交从项目电子化交易系统获取的询价通知书回执函）。</w:t>
      </w:r>
    </w:p>
    <w:p>
      <w:pPr>
        <w:pStyle w:val="null3"/>
        <w:ind w:firstLine="480"/>
      </w:pPr>
      <w:r>
        <w:rPr>
          <w:rFonts w:ascii="仿宋_GB2312" w:hAnsi="仿宋_GB2312" w:cs="仿宋_GB2312" w:eastAsia="仿宋_GB2312"/>
        </w:rPr>
        <w:t>注：根据《中华人民共和国政府采购法》的规定，供应商质疑不得超出询价通知书、询价过程、成交结果的范围。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采购台式计算机89台，价格控制在40万以内，系统为国产品牌。详细参数见附件。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89.00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3.3技术参数及要求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一、台式计算机</w:t>
            </w:r>
          </w:p>
          <w:p>
            <w:pPr>
              <w:pStyle w:val="null3"/>
            </w:pPr>
            <w:r>
              <w:rPr>
                <w:rFonts w:ascii="仿宋_GB2312" w:hAnsi="仿宋_GB2312" w:cs="仿宋_GB2312" w:eastAsia="仿宋_GB2312"/>
              </w:rPr>
              <w:t>★1.处理器： ARM架构≥8核，最高主频≥2.1GHz，TDP≤25W；</w:t>
            </w:r>
            <w:r>
              <w:br/>
            </w:r>
            <w:r>
              <w:rPr>
                <w:rFonts w:ascii="仿宋_GB2312" w:hAnsi="仿宋_GB2312" w:cs="仿宋_GB2312" w:eastAsia="仿宋_GB2312"/>
              </w:rPr>
              <w:t xml:space="preserve"> ★2.内存：≥ 8G DDR4/LPDDR4及以上；</w:t>
            </w:r>
            <w:r>
              <w:br/>
            </w:r>
            <w:r>
              <w:rPr>
                <w:rFonts w:ascii="仿宋_GB2312" w:hAnsi="仿宋_GB2312" w:cs="仿宋_GB2312" w:eastAsia="仿宋_GB2312"/>
              </w:rPr>
              <w:t xml:space="preserve"> ★3.硬盘：≥512GB 固态硬盘；</w:t>
            </w:r>
            <w:r>
              <w:br/>
            </w:r>
            <w:r>
              <w:rPr>
                <w:rFonts w:ascii="仿宋_GB2312" w:hAnsi="仿宋_GB2312" w:cs="仿宋_GB2312" w:eastAsia="仿宋_GB2312"/>
              </w:rPr>
              <w:t xml:space="preserve"> 4.显卡：集成显卡</w:t>
            </w:r>
            <w:r>
              <w:br/>
            </w:r>
            <w:r>
              <w:rPr>
                <w:rFonts w:ascii="仿宋_GB2312" w:hAnsi="仿宋_GB2312" w:cs="仿宋_GB2312" w:eastAsia="仿宋_GB2312"/>
              </w:rPr>
              <w:t xml:space="preserve"> 5.网卡：集成10/100/1000M以太网卡；</w:t>
            </w:r>
            <w:r>
              <w:br/>
            </w:r>
            <w:r>
              <w:rPr>
                <w:rFonts w:ascii="仿宋_GB2312" w:hAnsi="仿宋_GB2312" w:cs="仿宋_GB2312" w:eastAsia="仿宋_GB2312"/>
              </w:rPr>
              <w:t xml:space="preserve"> 6.键鼠：同品牌键盘、鼠标；</w:t>
            </w:r>
            <w:r>
              <w:br/>
            </w:r>
            <w:r>
              <w:rPr>
                <w:rFonts w:ascii="仿宋_GB2312" w:hAnsi="仿宋_GB2312" w:cs="仿宋_GB2312" w:eastAsia="仿宋_GB2312"/>
              </w:rPr>
              <w:t xml:space="preserve"> 7.接口：≥8个主板原生USB接口（含Type-C），其中原生USB 3.0接口≥6个； </w:t>
            </w:r>
            <w:r>
              <w:br/>
            </w:r>
            <w:r>
              <w:rPr>
                <w:rFonts w:ascii="仿宋_GB2312" w:hAnsi="仿宋_GB2312" w:cs="仿宋_GB2312" w:eastAsia="仿宋_GB2312"/>
              </w:rPr>
              <w:t xml:space="preserve"> 8.显示器：≥23.8英寸，支持VGA/HDMI/DP其中两种或以上接口，支持莱茵低蓝光（提供认证证书）</w:t>
            </w:r>
            <w:r>
              <w:br/>
            </w:r>
            <w:r>
              <w:rPr>
                <w:rFonts w:ascii="仿宋_GB2312" w:hAnsi="仿宋_GB2312" w:cs="仿宋_GB2312" w:eastAsia="仿宋_GB2312"/>
              </w:rPr>
              <w:t xml:space="preserve"> 9.操作系统：预装国产统信桌面操作系统或麒麟桌面操作系统</w:t>
            </w:r>
            <w:r>
              <w:br/>
            </w:r>
            <w:r>
              <w:rPr>
                <w:rFonts w:ascii="仿宋_GB2312" w:hAnsi="仿宋_GB2312" w:cs="仿宋_GB2312" w:eastAsia="仿宋_GB2312"/>
              </w:rPr>
              <w:t xml:space="preserve"> 10.安全特性：支持限制USB接口使用用途，可设置USB接口为USB存储只读和USB存储拒绝（可识别鼠标和键盘），投标提供BIOS设置界面截图；</w:t>
            </w:r>
            <w:r>
              <w:br/>
            </w:r>
            <w:r>
              <w:rPr>
                <w:rFonts w:ascii="仿宋_GB2312" w:hAnsi="仿宋_GB2312" w:cs="仿宋_GB2312" w:eastAsia="仿宋_GB2312"/>
              </w:rPr>
              <w:t xml:space="preserve"> 11、服务：整机5年质保上门服务;</w:t>
            </w:r>
            <w:r>
              <w:br/>
            </w:r>
            <w:r>
              <w:rPr>
                <w:rFonts w:ascii="仿宋_GB2312" w:hAnsi="仿宋_GB2312" w:cs="仿宋_GB2312" w:eastAsia="仿宋_GB2312"/>
              </w:rPr>
              <w:t xml:space="preserve"> 12、机箱：≤11L</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二、生态适配服务</w:t>
            </w:r>
          </w:p>
          <w:p>
            <w:pPr>
              <w:pStyle w:val="null3"/>
            </w:pPr>
            <w:r>
              <w:rPr>
                <w:rFonts w:ascii="仿宋_GB2312" w:hAnsi="仿宋_GB2312" w:cs="仿宋_GB2312" w:eastAsia="仿宋_GB2312"/>
              </w:rPr>
              <w:t>⑴★性能支持：服务方案需实现在运行Windows应用时不消耗国产电脑的本地性能，且不与其他用户共享，不需要额外部署服务器，不消耗服务器资源；不依赖局域网网络带宽。</w:t>
            </w:r>
            <w:r>
              <w:br/>
            </w:r>
            <w:r>
              <w:rPr>
                <w:rFonts w:ascii="仿宋_GB2312" w:hAnsi="仿宋_GB2312" w:cs="仿宋_GB2312" w:eastAsia="仿宋_GB2312"/>
              </w:rPr>
              <w:t xml:space="preserve"> ⑵ 系统支持：保障国产操作系统兼容性，服务方案需同时支持统信、麒麟操作系统，包括系统厂商互认证证书。</w:t>
            </w:r>
            <w:r>
              <w:br/>
            </w:r>
            <w:r>
              <w:rPr>
                <w:rFonts w:ascii="仿宋_GB2312" w:hAnsi="仿宋_GB2312" w:cs="仿宋_GB2312" w:eastAsia="仿宋_GB2312"/>
              </w:rPr>
              <w:t xml:space="preserve"> ⑶为保障多架构兼容性，服务方案需支持ARM、X86架构CPU下的软件兼容，包括：海思麒麟、飞腾、兆芯、海光、鲲鹏等品牌芯片。通过本地虚拟化适配业务系统及外设，符合知识产权合规要求（需第三方律所出具证明）， 确保常用的业务系统及外设如His,打印机能满足同时在麒麟KOS和统信UOS、鸿蒙OS等国产操作系统里都能正常使用。</w:t>
            </w:r>
            <w:r>
              <w:br/>
            </w:r>
            <w:r>
              <w:rPr>
                <w:rFonts w:ascii="仿宋_GB2312" w:hAnsi="仿宋_GB2312" w:cs="仿宋_GB2312" w:eastAsia="仿宋_GB2312"/>
              </w:rPr>
              <w:t xml:space="preserve"> ⑷★生态兼容：服务方案需支持在国产化操作系统上兼容原有Windows应用程序。为保障使用习惯统一，服务方案需支持在国产操作系统上运行Windows安装程序文件，支持终端用户自主安装及卸载软件，支持虚拟化软件窗口、托盘、任务栏、桌面快捷方式、剪切板、文件关联与国产操作系统融合。</w:t>
            </w:r>
          </w:p>
          <w:p>
            <w:pPr>
              <w:pStyle w:val="null3"/>
            </w:pPr>
            <w:r>
              <w:rPr>
                <w:rFonts w:ascii="仿宋_GB2312" w:hAnsi="仿宋_GB2312" w:cs="仿宋_GB2312" w:eastAsia="仿宋_GB2312"/>
              </w:rPr>
              <w:t>⑸★数据安全：为保障数据安全，服务方案需支持业务系统产生的文件与文档数据直接存储在国产操作系统本地目录下，并支持挂载磁盘、灵活扩展磁盘等操作。</w:t>
            </w:r>
            <w:r>
              <w:br/>
            </w:r>
            <w:r>
              <w:rPr>
                <w:rFonts w:ascii="仿宋_GB2312" w:hAnsi="仿宋_GB2312" w:cs="仿宋_GB2312" w:eastAsia="仿宋_GB2312"/>
              </w:rPr>
              <w:t xml:space="preserve"> ⑹ 外设管控：服务方案需支持对USB等外设的读写权限控制。</w:t>
            </w:r>
            <w:r>
              <w:br/>
            </w:r>
            <w:r>
              <w:rPr>
                <w:rFonts w:ascii="仿宋_GB2312" w:hAnsi="仿宋_GB2312" w:cs="仿宋_GB2312" w:eastAsia="仿宋_GB2312"/>
              </w:rPr>
              <w:t xml:space="preserve"> ⑺ 后台管控：服务方案需支持后台统一管控，包括：客户端内网更新、虚拟化应用黑名单、内网批量激活、软件安装、卸载权限、容器内系统补丁更新等管理。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三、正版教学办公软件</w:t>
            </w:r>
          </w:p>
          <w:p>
            <w:pPr>
              <w:pStyle w:val="null3"/>
            </w:pPr>
            <w:r>
              <w:rPr>
                <w:rFonts w:ascii="仿宋_GB2312" w:hAnsi="仿宋_GB2312" w:cs="仿宋_GB2312" w:eastAsia="仿宋_GB2312"/>
                <w:sz w:val="20"/>
              </w:rPr>
              <w:t xml:space="preserve"> 1、支持</w:t>
            </w:r>
            <w:r>
              <w:rPr>
                <w:rFonts w:ascii="仿宋_GB2312" w:hAnsi="仿宋_GB2312" w:cs="仿宋_GB2312" w:eastAsia="仿宋_GB2312"/>
                <w:sz w:val="20"/>
              </w:rPr>
              <w:t>文字、表格、简报均支持经典界面、智能界面无缝切换</w:t>
            </w:r>
            <w:r>
              <w:rPr>
                <w:rFonts w:ascii="仿宋_GB2312" w:hAnsi="仿宋_GB2312" w:cs="仿宋_GB2312" w:eastAsia="仿宋_GB2312"/>
                <w:sz w:val="20"/>
              </w:rPr>
              <w:t>；（</w:t>
            </w:r>
            <w:r>
              <w:rPr>
                <w:rFonts w:ascii="仿宋_GB2312" w:hAnsi="仿宋_GB2312" w:cs="仿宋_GB2312" w:eastAsia="仿宋_GB2312"/>
                <w:sz w:val="20"/>
              </w:rPr>
              <w:t>提供演示或者相关截图</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2、文字、表格、简报均内置数学、化学、物理、地理等科教素材，支持素材导入导出等管理行为</w:t>
            </w:r>
            <w:r>
              <w:rPr>
                <w:rFonts w:ascii="仿宋_GB2312" w:hAnsi="仿宋_GB2312" w:cs="仿宋_GB2312" w:eastAsia="仿宋_GB2312"/>
                <w:sz w:val="20"/>
              </w:rPr>
              <w:t>；（</w:t>
            </w:r>
            <w:r>
              <w:rPr>
                <w:rFonts w:ascii="仿宋_GB2312" w:hAnsi="仿宋_GB2312" w:cs="仿宋_GB2312" w:eastAsia="仿宋_GB2312"/>
                <w:sz w:val="20"/>
              </w:rPr>
              <w:t>提供演示或者相关截图</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3、</w:t>
            </w:r>
            <w:r>
              <w:rPr>
                <w:rFonts w:ascii="仿宋_GB2312" w:hAnsi="仿宋_GB2312" w:cs="仿宋_GB2312" w:eastAsia="仿宋_GB2312"/>
                <w:sz w:val="20"/>
              </w:rPr>
              <w:t>文字、表格、简报均支持函数图像功能，自动基于函数生成对应图像</w:t>
            </w:r>
            <w:r>
              <w:rPr>
                <w:rFonts w:ascii="仿宋_GB2312" w:hAnsi="仿宋_GB2312" w:cs="仿宋_GB2312" w:eastAsia="仿宋_GB2312"/>
                <w:sz w:val="20"/>
              </w:rPr>
              <w:t>；（</w:t>
            </w:r>
            <w:r>
              <w:rPr>
                <w:rFonts w:ascii="仿宋_GB2312" w:hAnsi="仿宋_GB2312" w:cs="仿宋_GB2312" w:eastAsia="仿宋_GB2312"/>
                <w:sz w:val="20"/>
              </w:rPr>
              <w:t>提供演示或者相关截图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 4、</w:t>
            </w:r>
            <w:r>
              <w:rPr>
                <w:rFonts w:ascii="仿宋_GB2312" w:hAnsi="仿宋_GB2312" w:cs="仿宋_GB2312" w:eastAsia="仿宋_GB2312"/>
                <w:sz w:val="20"/>
              </w:rPr>
              <w:t>文字、表格、简报均支持在设置图形、图片及文本属性时，效果可即时预览</w:t>
            </w:r>
            <w:r>
              <w:rPr>
                <w:rFonts w:ascii="仿宋_GB2312" w:hAnsi="仿宋_GB2312" w:cs="仿宋_GB2312" w:eastAsia="仿宋_GB2312"/>
                <w:sz w:val="20"/>
              </w:rPr>
              <w:t>；（</w:t>
            </w:r>
            <w:r>
              <w:rPr>
                <w:rFonts w:ascii="仿宋_GB2312" w:hAnsi="仿宋_GB2312" w:cs="仿宋_GB2312" w:eastAsia="仿宋_GB2312"/>
                <w:sz w:val="20"/>
              </w:rPr>
              <w:t>提供演示或者相关截图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 5、</w:t>
            </w:r>
            <w:r>
              <w:rPr>
                <w:rFonts w:ascii="仿宋_GB2312" w:hAnsi="仿宋_GB2312" w:cs="仿宋_GB2312" w:eastAsia="仿宋_GB2312"/>
                <w:sz w:val="20"/>
                <w:color w:val="000000"/>
              </w:rPr>
              <w:t>表格模块中，在单元格中设置下拉列表时，支持设置选择多个选项，并按照此设置在单元格中实现多项选择</w:t>
            </w:r>
            <w:r>
              <w:rPr>
                <w:rFonts w:ascii="仿宋_GB2312" w:hAnsi="仿宋_GB2312" w:cs="仿宋_GB2312" w:eastAsia="仿宋_GB2312"/>
                <w:sz w:val="20"/>
                <w:color w:val="000000"/>
              </w:rPr>
              <w:t>；</w:t>
            </w:r>
            <w:r>
              <w:rPr>
                <w:rFonts w:ascii="仿宋_GB2312" w:hAnsi="仿宋_GB2312" w:cs="仿宋_GB2312" w:eastAsia="仿宋_GB2312"/>
                <w:sz w:val="20"/>
              </w:rPr>
              <w:t>（</w:t>
            </w:r>
            <w:r>
              <w:rPr>
                <w:rFonts w:ascii="仿宋_GB2312" w:hAnsi="仿宋_GB2312" w:cs="仿宋_GB2312" w:eastAsia="仿宋_GB2312"/>
                <w:sz w:val="20"/>
              </w:rPr>
              <w:t>需要提供相关截图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 xml:space="preserve"> 6、</w:t>
            </w:r>
            <w:r>
              <w:rPr>
                <w:rFonts w:ascii="仿宋_GB2312" w:hAnsi="仿宋_GB2312" w:cs="仿宋_GB2312" w:eastAsia="仿宋_GB2312"/>
                <w:sz w:val="20"/>
              </w:rPr>
              <w:t>文字模块打印、打印预览支持设定是否打印批注、修订信息，支持信封设置及信封打印</w:t>
            </w:r>
            <w:r>
              <w:rPr>
                <w:rFonts w:ascii="仿宋_GB2312" w:hAnsi="仿宋_GB2312" w:cs="仿宋_GB2312" w:eastAsia="仿宋_GB2312"/>
                <w:sz w:val="20"/>
              </w:rPr>
              <w:t>；（</w:t>
            </w:r>
            <w:r>
              <w:rPr>
                <w:rFonts w:ascii="仿宋_GB2312" w:hAnsi="仿宋_GB2312" w:cs="仿宋_GB2312" w:eastAsia="仿宋_GB2312"/>
                <w:sz w:val="20"/>
              </w:rPr>
              <w:t>需要提供相关截图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 xml:space="preserve"> 7、</w:t>
            </w:r>
            <w:r>
              <w:rPr>
                <w:rFonts w:ascii="仿宋_GB2312" w:hAnsi="仿宋_GB2312" w:cs="仿宋_GB2312" w:eastAsia="仿宋_GB2312"/>
                <w:sz w:val="20"/>
                <w:color w:val="000000"/>
              </w:rPr>
              <w:t>文字模块</w:t>
            </w:r>
            <w:r>
              <w:rPr>
                <w:rFonts w:ascii="仿宋_GB2312" w:hAnsi="仿宋_GB2312" w:cs="仿宋_GB2312" w:eastAsia="仿宋_GB2312"/>
                <w:sz w:val="20"/>
              </w:rPr>
              <w:t>中支持超链接定位功能，能以</w:t>
            </w:r>
            <w:r>
              <w:rPr>
                <w:rFonts w:ascii="仿宋_GB2312" w:hAnsi="仿宋_GB2312" w:cs="仿宋_GB2312" w:eastAsia="仿宋_GB2312"/>
                <w:sz w:val="20"/>
                <w:color w:val="000000"/>
              </w:rPr>
              <w:t>上一条、下一条方式定位文档内超链接</w:t>
            </w:r>
            <w:r>
              <w:rPr>
                <w:rFonts w:ascii="仿宋_GB2312" w:hAnsi="仿宋_GB2312" w:cs="仿宋_GB2312" w:eastAsia="仿宋_GB2312"/>
                <w:sz w:val="20"/>
                <w:color w:val="000000"/>
              </w:rPr>
              <w:t>；</w:t>
            </w:r>
            <w:r>
              <w:rPr>
                <w:rFonts w:ascii="仿宋_GB2312" w:hAnsi="仿宋_GB2312" w:cs="仿宋_GB2312" w:eastAsia="仿宋_GB2312"/>
                <w:sz w:val="20"/>
              </w:rPr>
              <w:t>（</w:t>
            </w:r>
            <w:r>
              <w:rPr>
                <w:rFonts w:ascii="仿宋_GB2312" w:hAnsi="仿宋_GB2312" w:cs="仿宋_GB2312" w:eastAsia="仿宋_GB2312"/>
                <w:sz w:val="20"/>
              </w:rPr>
              <w:t>需要提供相关截图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 xml:space="preserve"> 8、</w:t>
            </w:r>
            <w:r>
              <w:rPr>
                <w:rFonts w:ascii="仿宋_GB2312" w:hAnsi="仿宋_GB2312" w:cs="仿宋_GB2312" w:eastAsia="仿宋_GB2312"/>
                <w:sz w:val="20"/>
              </w:rPr>
              <w:t>文字、表格模块支持自定义颜色的护眼模式</w:t>
            </w:r>
            <w:r>
              <w:rPr>
                <w:rFonts w:ascii="仿宋_GB2312" w:hAnsi="仿宋_GB2312" w:cs="仿宋_GB2312" w:eastAsia="仿宋_GB2312"/>
                <w:sz w:val="20"/>
              </w:rPr>
              <w:t>；（</w:t>
            </w:r>
            <w:r>
              <w:rPr>
                <w:rFonts w:ascii="仿宋_GB2312" w:hAnsi="仿宋_GB2312" w:cs="仿宋_GB2312" w:eastAsia="仿宋_GB2312"/>
                <w:sz w:val="20"/>
              </w:rPr>
              <w:t>需要提供相关截图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 9、</w:t>
            </w:r>
            <w:r>
              <w:rPr>
                <w:rFonts w:ascii="仿宋_GB2312" w:hAnsi="仿宋_GB2312" w:cs="仿宋_GB2312" w:eastAsia="仿宋_GB2312"/>
                <w:sz w:val="20"/>
              </w:rPr>
              <w:t>表格模块中单元格合并拆分功能支持跨越合并、合并相同单元格、拆分并填充内容方式</w:t>
            </w:r>
            <w:r>
              <w:rPr>
                <w:rFonts w:ascii="仿宋_GB2312" w:hAnsi="仿宋_GB2312" w:cs="仿宋_GB2312" w:eastAsia="仿宋_GB2312"/>
                <w:sz w:val="20"/>
              </w:rPr>
              <w:t>；（</w:t>
            </w:r>
            <w:r>
              <w:rPr>
                <w:rFonts w:ascii="仿宋_GB2312" w:hAnsi="仿宋_GB2312" w:cs="仿宋_GB2312" w:eastAsia="仿宋_GB2312"/>
                <w:sz w:val="20"/>
              </w:rPr>
              <w:t>需要提供相关截图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 10、</w:t>
            </w:r>
            <w:r>
              <w:rPr>
                <w:rFonts w:ascii="仿宋_GB2312" w:hAnsi="仿宋_GB2312" w:cs="仿宋_GB2312" w:eastAsia="仿宋_GB2312"/>
                <w:sz w:val="20"/>
              </w:rPr>
              <w:t>表格模块中，在单元格中设置下拉列表时，支持设置选择多个选项，并按照此设置在单元格中实现多项选择</w:t>
            </w:r>
            <w:r>
              <w:rPr>
                <w:rFonts w:ascii="仿宋_GB2312" w:hAnsi="仿宋_GB2312" w:cs="仿宋_GB2312" w:eastAsia="仿宋_GB2312"/>
                <w:sz w:val="20"/>
              </w:rPr>
              <w:t>；（</w:t>
            </w:r>
            <w:r>
              <w:rPr>
                <w:rFonts w:ascii="仿宋_GB2312" w:hAnsi="仿宋_GB2312" w:cs="仿宋_GB2312" w:eastAsia="仿宋_GB2312"/>
                <w:sz w:val="20"/>
              </w:rPr>
              <w:t>需要提供相关截图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 11、支持文字、表格、简报智能界面均支持鼠标模</w:t>
            </w:r>
            <w:r>
              <w:rPr>
                <w:rFonts w:ascii="仿宋_GB2312" w:hAnsi="仿宋_GB2312" w:cs="仿宋_GB2312" w:eastAsia="仿宋_GB2312"/>
                <w:sz w:val="20"/>
              </w:rPr>
              <w:t>式、触摸模式（触摸模式下各功能菜单间距增大，方便手指操作）无缝切换</w:t>
            </w:r>
            <w:r>
              <w:rPr>
                <w:rFonts w:ascii="仿宋_GB2312" w:hAnsi="仿宋_GB2312" w:cs="仿宋_GB2312" w:eastAsia="仿宋_GB2312"/>
                <w:sz w:val="20"/>
              </w:rPr>
              <w:t>；（</w:t>
            </w:r>
            <w:r>
              <w:rPr>
                <w:rFonts w:ascii="仿宋_GB2312" w:hAnsi="仿宋_GB2312" w:cs="仿宋_GB2312" w:eastAsia="仿宋_GB2312"/>
                <w:sz w:val="20"/>
              </w:rPr>
              <w:t>需要提供相关截图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 12、</w:t>
            </w:r>
            <w:r>
              <w:rPr>
                <w:rFonts w:ascii="仿宋_GB2312" w:hAnsi="仿宋_GB2312" w:cs="仿宋_GB2312" w:eastAsia="仿宋_GB2312"/>
                <w:sz w:val="20"/>
                <w:color w:val="000000"/>
              </w:rPr>
              <w:t>支持将多个文字处理、电子</w:t>
            </w:r>
            <w:r>
              <w:rPr>
                <w:rFonts w:ascii="仿宋_GB2312" w:hAnsi="仿宋_GB2312" w:cs="仿宋_GB2312" w:eastAsia="仿宋_GB2312"/>
                <w:sz w:val="20"/>
              </w:rPr>
              <w:t>表格、简报制作文档整合为一个集成文件</w:t>
            </w:r>
            <w:r>
              <w:rPr>
                <w:rFonts w:ascii="仿宋_GB2312" w:hAnsi="仿宋_GB2312" w:cs="仿宋_GB2312" w:eastAsia="仿宋_GB2312"/>
                <w:sz w:val="20"/>
              </w:rPr>
              <w:t>,拥</w:t>
            </w:r>
            <w:r>
              <w:rPr>
                <w:rFonts w:ascii="仿宋_GB2312" w:hAnsi="仿宋_GB2312" w:cs="仿宋_GB2312" w:eastAsia="仿宋_GB2312"/>
                <w:sz w:val="20"/>
                <w:color w:val="000000"/>
              </w:rPr>
              <w:t>有统一的文件格式。</w:t>
            </w:r>
            <w:r>
              <w:rPr>
                <w:rFonts w:ascii="仿宋_GB2312" w:hAnsi="仿宋_GB2312" w:cs="仿宋_GB2312" w:eastAsia="仿宋_GB2312"/>
                <w:sz w:val="20"/>
              </w:rPr>
              <w:t>（</w:t>
            </w:r>
            <w:r>
              <w:rPr>
                <w:rFonts w:ascii="仿宋_GB2312" w:hAnsi="仿宋_GB2312" w:cs="仿宋_GB2312" w:eastAsia="仿宋_GB2312"/>
                <w:sz w:val="20"/>
              </w:rPr>
              <w:t>需要提供相关截图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 13、★</w:t>
            </w:r>
            <w:r>
              <w:rPr>
                <w:rFonts w:ascii="仿宋_GB2312" w:hAnsi="仿宋_GB2312" w:cs="仿宋_GB2312" w:eastAsia="仿宋_GB2312"/>
                <w:sz w:val="20"/>
                <w:color w:val="000000"/>
              </w:rPr>
              <w:t>支持适配安全可靠的操作系统及市面上主流芯片：</w:t>
            </w:r>
            <w:r>
              <w:rPr>
                <w:rFonts w:ascii="仿宋_GB2312" w:hAnsi="仿宋_GB2312" w:cs="仿宋_GB2312" w:eastAsia="仿宋_GB2312"/>
                <w:sz w:val="20"/>
                <w:color w:val="000000"/>
              </w:rPr>
              <w:t>X86，飞腾，龙芯，兆芯，鲲鹏等。</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提供相关适配证书</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 xml:space="preserve"> 14、</w:t>
            </w:r>
            <w:r>
              <w:rPr>
                <w:rFonts w:ascii="仿宋_GB2312" w:hAnsi="仿宋_GB2312" w:cs="仿宋_GB2312" w:eastAsia="仿宋_GB2312"/>
                <w:sz w:val="20"/>
                <w:color w:val="000000"/>
              </w:rPr>
              <w:t>可将文档直接输出为</w:t>
            </w:r>
            <w:r>
              <w:rPr>
                <w:rFonts w:ascii="仿宋_GB2312" w:hAnsi="仿宋_GB2312" w:cs="仿宋_GB2312" w:eastAsia="仿宋_GB2312"/>
                <w:sz w:val="20"/>
                <w:color w:val="000000"/>
              </w:rPr>
              <w:t>PDF</w:t>
            </w:r>
            <w:r>
              <w:rPr>
                <w:rFonts w:ascii="仿宋_GB2312" w:hAnsi="仿宋_GB2312" w:cs="仿宋_GB2312" w:eastAsia="仿宋_GB2312"/>
                <w:sz w:val="20"/>
                <w:color w:val="000000"/>
              </w:rPr>
              <w:t>、</w:t>
            </w:r>
            <w:r>
              <w:rPr>
                <w:rFonts w:ascii="仿宋_GB2312" w:hAnsi="仿宋_GB2312" w:cs="仿宋_GB2312" w:eastAsia="仿宋_GB2312"/>
                <w:sz w:val="20"/>
                <w:color w:val="000000"/>
              </w:rPr>
              <w:t>图片、</w:t>
            </w:r>
            <w:r>
              <w:rPr>
                <w:rFonts w:ascii="仿宋_GB2312" w:hAnsi="仿宋_GB2312" w:cs="仿宋_GB2312" w:eastAsia="仿宋_GB2312"/>
                <w:sz w:val="20"/>
                <w:color w:val="000000"/>
              </w:rPr>
              <w:t>OFD</w:t>
            </w:r>
            <w:r>
              <w:rPr>
                <w:rFonts w:ascii="仿宋_GB2312" w:hAnsi="仿宋_GB2312" w:cs="仿宋_GB2312" w:eastAsia="仿宋_GB2312"/>
                <w:sz w:val="20"/>
                <w:color w:val="000000"/>
              </w:rPr>
              <w:t>格式；</w:t>
            </w:r>
          </w:p>
          <w:p>
            <w:pPr>
              <w:pStyle w:val="null3"/>
              <w:jc w:val="left"/>
            </w:pPr>
            <w:r>
              <w:rPr>
                <w:rFonts w:ascii="仿宋_GB2312" w:hAnsi="仿宋_GB2312" w:cs="仿宋_GB2312" w:eastAsia="仿宋_GB2312"/>
                <w:sz w:val="20"/>
                <w:color w:val="000000"/>
              </w:rPr>
              <w:t xml:space="preserve"> 15、</w:t>
            </w:r>
            <w:r>
              <w:rPr>
                <w:rFonts w:ascii="仿宋_GB2312" w:hAnsi="仿宋_GB2312" w:cs="仿宋_GB2312" w:eastAsia="仿宋_GB2312"/>
                <w:sz w:val="20"/>
                <w:color w:val="000000"/>
              </w:rPr>
              <w:t>至少包含文字处理、电子表格和简报制作三大功能模块。</w:t>
            </w:r>
          </w:p>
          <w:p>
            <w:pPr>
              <w:pStyle w:val="null3"/>
              <w:jc w:val="left"/>
            </w:pPr>
            <w:r>
              <w:rPr>
                <w:rFonts w:ascii="仿宋_GB2312" w:hAnsi="仿宋_GB2312" w:cs="仿宋_GB2312" w:eastAsia="仿宋_GB2312"/>
                <w:sz w:val="20"/>
                <w:color w:val="000000"/>
              </w:rPr>
              <w:t xml:space="preserve"> 16、★软件授权需永久使用。</w:t>
            </w:r>
          </w:p>
          <w:p>
            <w:pPr>
              <w:pStyle w:val="null3"/>
              <w:jc w:val="left"/>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四、操作系统</w:t>
            </w:r>
          </w:p>
          <w:p>
            <w:pPr>
              <w:pStyle w:val="null3"/>
            </w:pPr>
            <w:r>
              <w:rPr>
                <w:rFonts w:ascii="仿宋_GB2312" w:hAnsi="仿宋_GB2312" w:cs="仿宋_GB2312" w:eastAsia="仿宋_GB2312"/>
              </w:rPr>
              <w:t>1．支持ARM、LoongArch、 MIPS、SW64、X86 等平台架构的CPU。</w:t>
            </w:r>
            <w:r>
              <w:br/>
            </w:r>
            <w:r>
              <w:rPr>
                <w:rFonts w:ascii="仿宋_GB2312" w:hAnsi="仿宋_GB2312" w:cs="仿宋_GB2312" w:eastAsia="仿宋_GB2312"/>
              </w:rPr>
              <w:t xml:space="preserve"> 2．中文支持：支持最新国家标准字符集 GB18030-2022。</w:t>
            </w:r>
            <w:r>
              <w:br/>
            </w:r>
            <w:r>
              <w:rPr>
                <w:rFonts w:ascii="仿宋_GB2312" w:hAnsi="仿宋_GB2312" w:cs="仿宋_GB2312" w:eastAsia="仿宋_GB2312"/>
              </w:rPr>
              <w:t xml:space="preserve"> 3.桌面环境：集成自主研发的统一桌面环境，保障用户体验的一致性</w:t>
            </w:r>
            <w:r>
              <w:br/>
            </w:r>
            <w:r>
              <w:rPr>
                <w:rFonts w:ascii="仿宋_GB2312" w:hAnsi="仿宋_GB2312" w:cs="仿宋_GB2312" w:eastAsia="仿宋_GB2312"/>
              </w:rPr>
              <w:t xml:space="preserve"> 4.基本功能：提供文档查看器、文本编辑器、归档管理器、日历、邮箱、相机、下载器等常用办公应用。</w:t>
            </w:r>
            <w:r>
              <w:br/>
            </w:r>
            <w:r>
              <w:rPr>
                <w:rFonts w:ascii="仿宋_GB2312" w:hAnsi="仿宋_GB2312" w:cs="仿宋_GB2312" w:eastAsia="仿宋_GB2312"/>
              </w:rPr>
              <w:t xml:space="preserve"> 5.管理工具：提供硬盘管理、文件管理、电源管理、打印管理、扫描管理、网络管理、主题管理、日志管理、快捷键管理、声音管理、时间日期管理等基本功能。</w:t>
            </w:r>
            <w:r>
              <w:br/>
            </w:r>
            <w:r>
              <w:rPr>
                <w:rFonts w:ascii="仿宋_GB2312" w:hAnsi="仿宋_GB2312" w:cs="仿宋_GB2312" w:eastAsia="仿宋_GB2312"/>
              </w:rPr>
              <w:t xml:space="preserve"> 6.系统安装：支持光盘、U盘和网络等安装方式。</w:t>
            </w:r>
            <w:r>
              <w:br/>
            </w:r>
            <w:r>
              <w:rPr>
                <w:rFonts w:ascii="仿宋_GB2312" w:hAnsi="仿宋_GB2312" w:cs="仿宋_GB2312" w:eastAsia="仿宋_GB2312"/>
              </w:rPr>
              <w:t xml:space="preserve"> 7.应用商店：内置应用商店供用户下载软件，支持下载排行和搜索，支持原生应用、Windows迁移应用、安卓应用等。</w:t>
            </w:r>
            <w:r>
              <w:br/>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5年质保</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勉县勉阳街道办中心小学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合同签订后视为有效，安装调试完毕验收合格后 一次性付清全部款项。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货到需方指定地点，需方按合同约定对产品进行初步验收，初步验收不合格按换货或退货处理；初步验收合格后，供方按质保约定提供产品质量服务。</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内的产品如发生质量问题，质保期从产品恢复正常起重新计算。若在保修期内发生质量问题，供方负责免费维修或更换，给需方造成的相关损失由供方承担。质保期内，供方的质保服务响应时间为24小时。供方不及时处理产品质量问题的，需方有权解除合同。 因供方提供假冒伪劣产品给需方造成损失的，质保期外需方依然有权向供方追责。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1.供方未按照合同约定的交货期交货的，每延期一天，供方承担违约项合同价款1%的违约金（不可抗力因素、需方原因除外），逾期超过30天的，需方有权解除合同。 2.供方在供货过程中出现假冒伪劣产品，供方应按照假一赔十原则向需方承担违约责任。同时依据需方《供方管理程序》对供方进行考评。 3.双方约定本合同产生的债权不得转让。若一方擅自转让债权，守约方有权解除合同并要求转让方承担本合同总价款10%的违约金。 4.供方在需方区域内不得从事任何违规、违法犯罪活动，一经查实，供方愿意按需方制度或国家有关法律法规接受需方处理或法律责任追究。同时，由此给需方造成经济损失时，供方按照不低于损失（或追回损失）的2倍价值赔偿（或考核），以此作为其承担违反商业往来“诚信”原则的违约责任，赔偿款（或考核）由供方向需方缴纳或需方单方直接从合同货款中扣除，并且需方有权单方解除合同。 5.供方所供产品需符合国家及行业关于安全、环保方面的相关规定；如供方供给需方的产品不符合国家及行业关于安全、环保方面的相关规定，供方应承担由此给需方造成的损失。 6.本合同生效后，如任何一方违约给对方造成损失，除向守约方承担违约金外，给守约方造成损失的还应承担赔偿责任，守约方损失包括因违约方违约造成的损失以及守约方因实现权益所发生的各项费用（包括但不限于诉讼费、仲裁费、执行费、保险费、差旅费、律师费、财产保全费、公证认证费、翻译费、评估拍卖费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响应文件提交截止时间结束后，由资格性审查小组依据法律法规和询价通知书的规定，对响应文件中的资格证明等进行审查，以确定被邀请参加询价采购活动的供应商名单并出具资格审查报告。</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供应商应具备《中华人民共和国政府采购法》第二十二条规定的条件；《法定代表人授权书》或《法定代表人证明书》。</w:t>
            </w:r>
          </w:p>
        </w:tc>
        <w:tc>
          <w:tcPr>
            <w:tcW w:type="dxa" w:w="3322"/>
          </w:tcPr>
          <w:p>
            <w:pPr>
              <w:pStyle w:val="null3"/>
            </w:pPr>
            <w:r>
              <w:rPr>
                <w:rFonts w:ascii="仿宋_GB2312" w:hAnsi="仿宋_GB2312" w:cs="仿宋_GB2312" w:eastAsia="仿宋_GB2312"/>
              </w:rPr>
              <w:t>供应商需上传《营业执照》扫描件及项目电子化交易系统中按要求填写《响应函》完成承诺并进行电子签章。授权代表须出具《法定代表人授权书》，法定代表人本人参加须提供《法定代表人证明书》。</w:t>
            </w:r>
          </w:p>
        </w:tc>
        <w:tc>
          <w:tcPr>
            <w:tcW w:type="dxa" w:w="1661"/>
          </w:tcPr>
          <w:p>
            <w:pPr>
              <w:pStyle w:val="null3"/>
            </w:pPr>
            <w:r>
              <w:rPr>
                <w:rFonts w:ascii="仿宋_GB2312" w:hAnsi="仿宋_GB2312" w:cs="仿宋_GB2312" w:eastAsia="仿宋_GB2312"/>
              </w:rPr>
              <w:t>响应文件封面 法定代表人证明书.docx 法定代表人授权委托书.docx 响应函 资格要求（营业执照）.docx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供应商需在项目电子化交易系统中按要求填写《响应函》、《无控股、管理关系承诺函》完成承诺并进行电子签章。</w:t>
            </w:r>
          </w:p>
        </w:tc>
        <w:tc>
          <w:tcPr>
            <w:tcW w:type="dxa" w:w="1661"/>
          </w:tcPr>
          <w:p>
            <w:pPr>
              <w:pStyle w:val="null3"/>
            </w:pPr>
            <w:r>
              <w:rPr>
                <w:rFonts w:ascii="仿宋_GB2312" w:hAnsi="仿宋_GB2312" w:cs="仿宋_GB2312" w:eastAsia="仿宋_GB2312"/>
              </w:rPr>
              <w:t>无控股、管理关系承诺函.docx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《非联合体投标不分包声明函》</w:t>
            </w:r>
          </w:p>
        </w:tc>
        <w:tc>
          <w:tcPr>
            <w:tcW w:type="dxa" w:w="3322"/>
          </w:tcPr>
          <w:p>
            <w:pPr>
              <w:pStyle w:val="null3"/>
            </w:pPr>
            <w:r>
              <w:rPr>
                <w:rFonts w:ascii="仿宋_GB2312" w:hAnsi="仿宋_GB2312" w:cs="仿宋_GB2312" w:eastAsia="仿宋_GB2312"/>
              </w:rPr>
              <w:t>本项目不接受联合体且成交后不得分包</w:t>
            </w:r>
          </w:p>
        </w:tc>
        <w:tc>
          <w:tcPr>
            <w:tcW w:type="dxa" w:w="1661"/>
          </w:tcPr>
          <w:p>
            <w:pPr>
              <w:pStyle w:val="null3"/>
            </w:pPr>
            <w:r>
              <w:rPr>
                <w:rFonts w:ascii="仿宋_GB2312" w:hAnsi="仿宋_GB2312" w:cs="仿宋_GB2312" w:eastAsia="仿宋_GB2312"/>
              </w:rPr>
              <w:t>非联合体投标不分包声明函.docx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落实政府采购相关政策</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中小企业声明函（货物）.docx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询价方法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二、评审工作由代理机构负责组织，具体评审事务由采购人和代理机构依法组建的询价小组负责。询价小组由采购人代表和评审专家组成。</w:t>
      </w:r>
    </w:p>
    <w:p>
      <w:pPr>
        <w:pStyle w:val="null3"/>
        <w:ind w:firstLine="480"/>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rFonts w:ascii="仿宋_GB2312" w:hAnsi="仿宋_GB2312" w:cs="仿宋_GB2312" w:eastAsia="仿宋_GB2312"/>
        </w:rPr>
        <w:t>六、询价小组按照询价通知书规定的询价采购活动程序进行评审，并在采购活动中应当履行下列职责：</w:t>
      </w:r>
    </w:p>
    <w:p>
      <w:pPr>
        <w:pStyle w:val="null3"/>
        <w:ind w:firstLine="480"/>
      </w:pPr>
      <w:r>
        <w:rPr>
          <w:rFonts w:ascii="仿宋_GB2312" w:hAnsi="仿宋_GB2312" w:cs="仿宋_GB2312" w:eastAsia="仿宋_GB2312"/>
        </w:rPr>
        <w:t>（一）熟悉和理解询价通知书；</w:t>
      </w:r>
    </w:p>
    <w:p>
      <w:pPr>
        <w:pStyle w:val="null3"/>
        <w:ind w:firstLine="480"/>
      </w:pPr>
      <w:r>
        <w:rPr>
          <w:rFonts w:ascii="仿宋_GB2312" w:hAnsi="仿宋_GB2312" w:cs="仿宋_GB2312" w:eastAsia="仿宋_GB2312"/>
        </w:rPr>
        <w:t>（二）审查供应商响应文件等是否满足询价通知书要求，并作出评价；</w:t>
      </w:r>
    </w:p>
    <w:p>
      <w:pPr>
        <w:pStyle w:val="null3"/>
        <w:ind w:firstLine="480"/>
      </w:pPr>
      <w:r>
        <w:rPr>
          <w:rFonts w:ascii="仿宋_GB2312" w:hAnsi="仿宋_GB2312" w:cs="仿宋_GB2312" w:eastAsia="仿宋_GB2312"/>
        </w:rPr>
        <w:t xml:space="preserve"> （三）根据需要要求采购组织单位对询价通知书作出解释；根据需要要求供应商对响应文件有关事项作出澄清、说明或者更正；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ind w:firstLine="480"/>
      </w:pPr>
      <w:r>
        <w:rPr>
          <w:rFonts w:ascii="仿宋_GB2312" w:hAnsi="仿宋_GB2312" w:cs="仿宋_GB2312" w:eastAsia="仿宋_GB2312"/>
        </w:rPr>
        <w:t>七、评审过程独立、保密。供应商非法干预评审过程的行为将导致其响应文件作为无效处理。</w:t>
      </w:r>
    </w:p>
    <w:p>
      <w:pPr>
        <w:pStyle w:val="null3"/>
        <w:ind w:firstLine="480"/>
      </w:pPr>
      <w:r>
        <w:rPr>
          <w:rFonts w:ascii="仿宋_GB2312" w:hAnsi="仿宋_GB2312" w:cs="仿宋_GB2312" w:eastAsia="仿宋_GB2312"/>
        </w:rPr>
        <w:t xml:space="preserve"> 八、询价小组决定响应文件的响应性依据响应文件本身的内容，而不寻求外部的证据，询价通知书有明确约定的除外。</w:t>
      </w:r>
    </w:p>
    <w:p>
      <w:pPr>
        <w:pStyle w:val="null3"/>
        <w:ind w:firstLine="480"/>
      </w:pPr>
      <w:r>
        <w:rPr>
          <w:rFonts w:ascii="仿宋_GB2312" w:hAnsi="仿宋_GB2312" w:cs="仿宋_GB2312" w:eastAsia="仿宋_GB2312"/>
        </w:rPr>
        <w:t>九、询价小组发现询价通知书表述不明确或需要说明的事项，可提请采购人和代理机构书面解释说明。</w:t>
      </w:r>
    </w:p>
    <w:p>
      <w:pPr>
        <w:pStyle w:val="null3"/>
        <w:outlineLvl w:val="2"/>
      </w:pPr>
      <w:r>
        <w:rPr>
          <w:rFonts w:ascii="仿宋_GB2312" w:hAnsi="仿宋_GB2312" w:cs="仿宋_GB2312" w:eastAsia="仿宋_GB2312"/>
          <w:sz w:val="28"/>
          <w:b/>
        </w:rPr>
        <w:t>5.2询价小组组建</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5.3.1熟悉和理解询价通知书和停止评审</w:t>
      </w:r>
    </w:p>
    <w:p>
      <w:pPr>
        <w:pStyle w:val="null3"/>
        <w:ind w:firstLine="480"/>
      </w:pPr>
      <w:r>
        <w:rPr>
          <w:rFonts w:ascii="仿宋_GB2312" w:hAnsi="仿宋_GB2312" w:cs="仿宋_GB2312" w:eastAsia="仿宋_GB2312"/>
        </w:rPr>
        <w:t xml:space="preserve"> 一、询价小组正式评审前，应当对询价通知书进行熟悉和理解，内容主要包括询价通知书中供应商的采购项目技术、服务和商务要求、评审方法和标准以及可能涉及签订政府采购合同的内容等。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rFonts w:ascii="仿宋_GB2312" w:hAnsi="仿宋_GB2312" w:cs="仿宋_GB2312" w:eastAsia="仿宋_GB2312"/>
        </w:rPr>
        <w:t xml:space="preserve"> 二、询价小组熟悉和理解询价通知书以及评审过程中，发现本询价通知书有下列情形之一的，询价小组应当停止评审：</w:t>
      </w:r>
    </w:p>
    <w:p>
      <w:pPr>
        <w:pStyle w:val="null3"/>
        <w:ind w:firstLine="480"/>
      </w:pPr>
      <w:r>
        <w:rPr>
          <w:rFonts w:ascii="仿宋_GB2312" w:hAnsi="仿宋_GB2312" w:cs="仿宋_GB2312" w:eastAsia="仿宋_GB2312"/>
        </w:rPr>
        <w:t>（一）询价通知书的规定存在歧义、重大缺陷的；</w:t>
      </w:r>
    </w:p>
    <w:p>
      <w:pPr>
        <w:pStyle w:val="null3"/>
        <w:ind w:firstLine="480"/>
      </w:pPr>
      <w:r>
        <w:rPr>
          <w:rFonts w:ascii="仿宋_GB2312" w:hAnsi="仿宋_GB2312" w:cs="仿宋_GB2312" w:eastAsia="仿宋_GB2312"/>
        </w:rPr>
        <w:t>（二）询价通知书明显以不合理条件对供应商实行差别待遇或者歧视待遇的；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（四）采购项目属于政府采购促进中小企业发展的范围，但是询价通知书未依法体现促进中小企业发展相关规定的；</w:t>
      </w:r>
    </w:p>
    <w:p>
      <w:pPr>
        <w:pStyle w:val="null3"/>
        <w:ind w:firstLine="480"/>
      </w:pPr>
      <w:r>
        <w:rPr>
          <w:rFonts w:ascii="仿宋_GB2312" w:hAnsi="仿宋_GB2312" w:cs="仿宋_GB2312" w:eastAsia="仿宋_GB2312"/>
        </w:rPr>
        <w:t>（五）询价通知书将供应商的资格条件列为评分因素的；</w:t>
      </w:r>
    </w:p>
    <w:p>
      <w:pPr>
        <w:pStyle w:val="null3"/>
        <w:ind w:firstLine="480"/>
      </w:pPr>
      <w:r>
        <w:rPr>
          <w:rFonts w:ascii="仿宋_GB2312" w:hAnsi="仿宋_GB2312" w:cs="仿宋_GB2312" w:eastAsia="仿宋_GB2312"/>
        </w:rPr>
        <w:t>（六）询价通知书载明的成交原则不合法的；</w:t>
      </w:r>
    </w:p>
    <w:p>
      <w:pPr>
        <w:pStyle w:val="null3"/>
        <w:ind w:firstLine="480"/>
      </w:pPr>
      <w:r>
        <w:rPr>
          <w:rFonts w:ascii="仿宋_GB2312" w:hAnsi="仿宋_GB2312" w:cs="仿宋_GB2312" w:eastAsia="仿宋_GB2312"/>
        </w:rPr>
        <w:t>（七）询价通知书有违反国家其他有关强制性规定的情形。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询价小组不应当停止评审的，可以通过项目电子化交易系统书面报告采购项目同级财政部门依法处理，并提供相关证明材料。</w:t>
      </w:r>
    </w:p>
    <w:p>
      <w:pPr>
        <w:pStyle w:val="null3"/>
        <w:outlineLvl w:val="3"/>
      </w:pPr>
      <w:r>
        <w:rPr>
          <w:rFonts w:ascii="仿宋_GB2312" w:hAnsi="仿宋_GB2312" w:cs="仿宋_GB2312" w:eastAsia="仿宋_GB2312"/>
          <w:sz w:val="24"/>
          <w:b/>
        </w:rPr>
        <w:t>5.3.2符合性审查</w:t>
      </w:r>
    </w:p>
    <w:p>
      <w:pPr>
        <w:pStyle w:val="null3"/>
        <w:ind w:firstLine="480"/>
      </w:pPr>
      <w:r>
        <w:rPr>
          <w:rFonts w:ascii="仿宋_GB2312" w:hAnsi="仿宋_GB2312" w:cs="仿宋_GB2312" w:eastAsia="仿宋_GB2312"/>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响应文件封面、响应函、产品技术参数表、报价表、标的清单</w:t>
            </w:r>
          </w:p>
        </w:tc>
        <w:tc>
          <w:tcPr>
            <w:tcW w:type="dxa" w:w="3322"/>
          </w:tcPr>
          <w:p>
            <w:pPr>
              <w:pStyle w:val="null3"/>
            </w:pPr>
            <w:r>
              <w:rPr>
                <w:rFonts w:ascii="仿宋_GB2312" w:hAnsi="仿宋_GB2312" w:cs="仿宋_GB2312" w:eastAsia="仿宋_GB2312"/>
              </w:rPr>
              <w:t>供应商根据附件详细参数按照格式填写</w:t>
            </w:r>
          </w:p>
        </w:tc>
        <w:tc>
          <w:tcPr>
            <w:tcW w:type="dxa" w:w="1661"/>
          </w:tcPr>
          <w:p>
            <w:pPr>
              <w:pStyle w:val="null3"/>
            </w:pPr>
            <w:r>
              <w:rPr>
                <w:rFonts w:ascii="仿宋_GB2312" w:hAnsi="仿宋_GB2312" w:cs="仿宋_GB2312" w:eastAsia="仿宋_GB2312"/>
              </w:rPr>
              <w:t>响应文件封面 产品技术参数表 标的清单 报价表 响应函</w:t>
            </w:r>
          </w:p>
        </w:tc>
      </w:tr>
    </w:tbl>
    <w:p>
      <w:pPr>
        <w:pStyle w:val="null3"/>
        <w:outlineLvl w:val="3"/>
      </w:pPr>
      <w:r>
        <w:rPr>
          <w:rFonts w:ascii="仿宋_GB2312" w:hAnsi="仿宋_GB2312" w:cs="仿宋_GB2312" w:eastAsia="仿宋_GB2312"/>
          <w:sz w:val="24"/>
          <w:b/>
        </w:rPr>
        <w:t>5.3.3价格扣除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中小企业声明函（货物）.docx 残疾人福利性单位声明函 监狱企业的证明文件</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六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5.3.4解释、澄清、说明的有关问题</w:t>
      </w:r>
    </w:p>
    <w:p>
      <w:pPr>
        <w:pStyle w:val="null3"/>
        <w:ind w:firstLine="480"/>
      </w:pPr>
      <w:r>
        <w:rPr>
          <w:rFonts w:ascii="仿宋_GB2312" w:hAnsi="仿宋_GB2312" w:cs="仿宋_GB2312" w:eastAsia="仿宋_GB2312"/>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rFonts w:ascii="仿宋_GB2312" w:hAnsi="仿宋_GB2312" w:cs="仿宋_GB2312" w:eastAsia="仿宋_GB2312"/>
        </w:rPr>
        <w:t>（一）供应商响应文件中不响应询价通知书规定的技术参数指标和商务应答；</w:t>
      </w:r>
    </w:p>
    <w:p>
      <w:pPr>
        <w:pStyle w:val="null3"/>
        <w:ind w:firstLine="480"/>
      </w:pPr>
      <w:r>
        <w:rPr>
          <w:rFonts w:ascii="仿宋_GB2312" w:hAnsi="仿宋_GB2312" w:cs="仿宋_GB2312" w:eastAsia="仿宋_GB2312"/>
        </w:rPr>
        <w:t>（二）供应商响应文件中未提供的证明其是否符合询价通知书资格、符合性规定要求的相关材料。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四、报价出现下列情况的，按以下原则处理：</w:t>
      </w:r>
    </w:p>
    <w:p>
      <w:pPr>
        <w:pStyle w:val="null3"/>
        <w:ind w:firstLine="480"/>
      </w:pPr>
      <w:r>
        <w:rPr>
          <w:rFonts w:ascii="仿宋_GB2312" w:hAnsi="仿宋_GB2312" w:cs="仿宋_GB2312" w:eastAsia="仿宋_GB2312"/>
        </w:rPr>
        <w:t>（一）大写金额和小写金额不一致的，以大写金额为准，但大写金额出现文字错误，导致金额无法判断的除外；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（二）单价金额小数点或者百分比有明显错位的，以开启一览表总价为准，并修改单价；</w:t>
      </w:r>
    </w:p>
    <w:p>
      <w:pPr>
        <w:pStyle w:val="null3"/>
        <w:ind w:firstLine="480"/>
      </w:pPr>
      <w:r>
        <w:rPr>
          <w:rFonts w:ascii="仿宋_GB2312" w:hAnsi="仿宋_GB2312" w:cs="仿宋_GB2312" w:eastAsia="仿宋_GB2312"/>
        </w:rPr>
        <w:t>（三）总价金额与按单价汇总金额不一致的，以单价金额计算结果为准。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同时出现两种以上不一致的，按照前款规定的顺序修正。修正后的报价经供应商确认后产生约束力，供应商不确认的，其响应无效。</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rFonts w:ascii="仿宋_GB2312" w:hAnsi="仿宋_GB2312" w:cs="仿宋_GB2312" w:eastAsia="仿宋_GB2312"/>
        </w:rPr>
        <w:t>六、询价小组应当积极履行澄清、说明或者更正的职责，不得滥用权力。</w:t>
      </w:r>
    </w:p>
    <w:p>
      <w:pPr>
        <w:pStyle w:val="null3"/>
        <w:outlineLvl w:val="3"/>
      </w:pPr>
      <w:r>
        <w:rPr>
          <w:rFonts w:ascii="仿宋_GB2312" w:hAnsi="仿宋_GB2312" w:cs="仿宋_GB2312" w:eastAsia="仿宋_GB2312"/>
          <w:sz w:val="24"/>
          <w:b/>
        </w:rPr>
        <w:t>5.3.5复核</w:t>
      </w:r>
    </w:p>
    <w:p>
      <w:pPr>
        <w:pStyle w:val="null3"/>
        <w:ind w:firstLine="480"/>
      </w:pPr>
      <w:r>
        <w:rPr>
          <w:rFonts w:ascii="仿宋_GB2312" w:hAnsi="仿宋_GB2312" w:cs="仿宋_GB2312" w:eastAsia="仿宋_GB2312"/>
        </w:rPr>
        <w:t xml:space="preserve"> 一、评审结束后，询价小组应当进行复核，特别要对拟推荐为成交候选供应商的、报价最低的、响应文件被认定为无效的进行重点复核。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rFonts w:ascii="仿宋_GB2312" w:hAnsi="仿宋_GB2312" w:cs="仿宋_GB2312" w:eastAsia="仿宋_GB2312"/>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5.3.6推荐成交候选供应商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报价相同的，按照供货周期由短到长的顺序推荐。</w:t>
      </w:r>
    </w:p>
    <w:p>
      <w:pPr>
        <w:pStyle w:val="null3"/>
        <w:outlineLvl w:val="3"/>
      </w:pPr>
      <w:r>
        <w:rPr>
          <w:rFonts w:ascii="仿宋_GB2312" w:hAnsi="仿宋_GB2312" w:cs="仿宋_GB2312" w:eastAsia="仿宋_GB2312"/>
          <w:sz w:val="24"/>
          <w:b/>
        </w:rPr>
        <w:t>5.3.7编写询价报告</w:t>
      </w:r>
    </w:p>
    <w:p>
      <w:pPr>
        <w:pStyle w:val="null3"/>
        <w:ind w:firstLine="480"/>
      </w:pPr>
      <w:r>
        <w:rPr>
          <w:rFonts w:ascii="仿宋_GB2312" w:hAnsi="仿宋_GB2312" w:cs="仿宋_GB2312" w:eastAsia="仿宋_GB2312"/>
        </w:rPr>
        <w:t>询价小组项目在电子化交易系统中编制评审情况，生成询价报告。</w:t>
      </w:r>
    </w:p>
    <w:p>
      <w:pPr>
        <w:pStyle w:val="null3"/>
        <w:ind w:firstLine="480"/>
      </w:pPr>
      <w:r>
        <w:rPr>
          <w:rFonts w:ascii="仿宋_GB2312" w:hAnsi="仿宋_GB2312" w:cs="仿宋_GB2312" w:eastAsia="仿宋_GB2312"/>
        </w:rPr>
        <w:t>询价报告是询价小组根据全体成员签字的原始评审记录和评审结果编写的报告，其主要内容包括：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二、响应文件开启日期和地点，询价小组成员名单；</w:t>
      </w:r>
    </w:p>
    <w:p>
      <w:pPr>
        <w:pStyle w:val="null3"/>
        <w:ind w:firstLine="480"/>
      </w:pPr>
      <w:r>
        <w:rPr>
          <w:rFonts w:ascii="仿宋_GB2312" w:hAnsi="仿宋_GB2312" w:cs="仿宋_GB2312" w:eastAsia="仿宋_GB2312"/>
        </w:rPr>
        <w:t>三、提交报价的供应商名单及报价情况，获取询价通知书但未提交报价的供应商名单；</w:t>
      </w:r>
    </w:p>
    <w:p>
      <w:pPr>
        <w:pStyle w:val="null3"/>
        <w:ind w:firstLine="480"/>
      </w:pPr>
      <w:r>
        <w:rPr>
          <w:rFonts w:ascii="仿宋_GB2312" w:hAnsi="仿宋_GB2312" w:cs="仿宋_GB2312" w:eastAsia="仿宋_GB2312"/>
        </w:rPr>
        <w:t xml:space="preserve"> 四、评审情况记录和说明，包括对供应商的资格审查情况、供应商响应文件评审情况、询价采购活动情况、报价情况等；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rFonts w:ascii="仿宋_GB2312" w:hAnsi="仿宋_GB2312" w:cs="仿宋_GB2312" w:eastAsia="仿宋_GB2312"/>
          <w:sz w:val="28"/>
          <w:b/>
        </w:rPr>
        <w:t>5.4争议处理规则</w:t>
      </w:r>
    </w:p>
    <w:p>
      <w:pPr>
        <w:pStyle w:val="null3"/>
        <w:ind w:firstLine="480"/>
      </w:pPr>
      <w:r>
        <w:rPr>
          <w:rFonts w:ascii="仿宋_GB2312" w:hAnsi="仿宋_GB2312" w:cs="仿宋_GB2312" w:eastAsia="仿宋_GB2312"/>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rFonts w:ascii="仿宋_GB2312" w:hAnsi="仿宋_GB2312" w:cs="仿宋_GB2312" w:eastAsia="仿宋_GB2312"/>
          <w:sz w:val="28"/>
          <w:b/>
        </w:rPr>
        <w:t>5.5终止采购活动</w:t>
      </w:r>
    </w:p>
    <w:p>
      <w:pPr>
        <w:pStyle w:val="null3"/>
        <w:ind w:firstLine="480"/>
      </w:pPr>
      <w:r>
        <w:rPr>
          <w:rFonts w:ascii="仿宋_GB2312" w:hAnsi="仿宋_GB2312" w:cs="仿宋_GB2312" w:eastAsia="仿宋_GB2312"/>
        </w:rPr>
        <w:t>出现下列情形之一的，终止询价采购活动：</w:t>
      </w:r>
    </w:p>
    <w:p>
      <w:pPr>
        <w:pStyle w:val="null3"/>
        <w:ind w:firstLine="480"/>
      </w:pPr>
      <w:r>
        <w:rPr>
          <w:rFonts w:ascii="仿宋_GB2312" w:hAnsi="仿宋_GB2312" w:cs="仿宋_GB2312" w:eastAsia="仿宋_GB2312"/>
        </w:rPr>
        <w:t>一、因情况变化，不再符合规定的询价采购方式适用情形的；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三、在采购过程中符合竞争要求的供应商或者报价未超过采购预算的供应商不足3家的。</w:t>
      </w:r>
    </w:p>
    <w:p>
      <w:pPr>
        <w:pStyle w:val="null3"/>
        <w:outlineLvl w:val="2"/>
      </w:pPr>
      <w:r>
        <w:rPr>
          <w:rFonts w:ascii="仿宋_GB2312" w:hAnsi="仿宋_GB2312" w:cs="仿宋_GB2312" w:eastAsia="仿宋_GB2312"/>
          <w:sz w:val="28"/>
          <w:b/>
        </w:rPr>
        <w:t>5.6确定成交供应商</w:t>
      </w:r>
    </w:p>
    <w:p>
      <w:pPr>
        <w:pStyle w:val="null3"/>
      </w:pPr>
      <w:r>
        <w:rPr>
          <w:rFonts w:ascii="仿宋_GB2312" w:hAnsi="仿宋_GB2312" w:cs="仿宋_GB2312" w:eastAsia="仿宋_GB2312"/>
        </w:rPr>
        <w:t>本项目授权询价小组直接确认成交供应商，确认后代理机构在陕西省政府采购网上发布成交结果公告，同时向成交供应商发出成交通知书。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5.7询价小组成员义务</w:t>
      </w:r>
    </w:p>
    <w:p>
      <w:pPr>
        <w:pStyle w:val="null3"/>
        <w:ind w:firstLine="480"/>
      </w:pPr>
      <w:r>
        <w:rPr>
          <w:rFonts w:ascii="仿宋_GB2312" w:hAnsi="仿宋_GB2312" w:cs="仿宋_GB2312" w:eastAsia="仿宋_GB2312"/>
        </w:rPr>
        <w:t>询价小组成员在政府采购活动中承担以下义务：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5.8询价采购活动纪律</w:t>
      </w:r>
    </w:p>
    <w:p>
      <w:pPr>
        <w:pStyle w:val="null3"/>
        <w:ind w:firstLine="480"/>
      </w:pPr>
      <w:r>
        <w:rPr>
          <w:rFonts w:ascii="仿宋_GB2312" w:hAnsi="仿宋_GB2312" w:cs="仿宋_GB2312" w:eastAsia="仿宋_GB2312"/>
        </w:rPr>
        <w:t>询价小组成员在政府采购活动中应当遵守以下工作纪律：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详见附件：中小企业声明函（货物）.docx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详见附件：无控股、管理关系承诺函.docx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详见附件：非联合体投标不分包声明函.docx</w:t>
      </w:r>
    </w:p>
    <w:p>
      <w:pPr>
        <w:pStyle w:val="null3"/>
        <w:ind w:firstLine="960"/>
      </w:pPr>
      <w:r>
        <w:rPr>
          <w:rFonts w:ascii="仿宋_GB2312" w:hAnsi="仿宋_GB2312" w:cs="仿宋_GB2312" w:eastAsia="仿宋_GB2312"/>
        </w:rPr>
        <w:t>详见附件：资格要求（营业执照）.docx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拟签订的合同文本</w:t>
      </w:r>
    </w:p>
    <w:p>
      <w:pPr>
        <w:pStyle w:val="null3"/>
      </w:pPr>
      <w:r>
        <w:rPr>
          <w:rFonts w:ascii="仿宋_GB2312" w:hAnsi="仿宋_GB2312" w:cs="仿宋_GB2312" w:eastAsia="仿宋_GB2312"/>
        </w:rPr>
        <w:t>详见附件：勉阳小学采购合同.docx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