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版本号：SH-H-W-2025-OO8.1B120260127001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修订暴雨强度公式(二次)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SH-H-W-2025-OO8.1B1</w:t>
      </w:r>
      <w:r>
        <w:br/>
      </w:r>
      <w:r>
        <w:br/>
      </w:r>
      <w:r>
        <w:br/>
      </w:r>
    </w:p>
    <w:p>
      <w:pPr>
        <w:pStyle w:val="null3"/>
        <w:jc w:val="center"/>
        <w:outlineLvl w:val="2"/>
      </w:pPr>
      <w:r>
        <w:rPr>
          <w:rFonts w:ascii="仿宋_GB2312" w:hAnsi="仿宋_GB2312" w:cs="仿宋_GB2312" w:eastAsia="仿宋_GB2312"/>
          <w:sz w:val="28"/>
          <w:b/>
        </w:rPr>
        <w:t>勉县气象局</w:t>
      </w:r>
    </w:p>
    <w:p>
      <w:pPr>
        <w:pStyle w:val="null3"/>
        <w:jc w:val="center"/>
        <w:outlineLvl w:val="2"/>
      </w:pPr>
      <w:r>
        <w:rPr>
          <w:rFonts w:ascii="仿宋_GB2312" w:hAnsi="仿宋_GB2312" w:cs="仿宋_GB2312" w:eastAsia="仿宋_GB2312"/>
          <w:sz w:val="28"/>
          <w:b/>
        </w:rPr>
        <w:t>陕西万博景天建设项目管理有限公司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陕西万博景天建设项目管理有限公司</w:t>
      </w:r>
      <w:r>
        <w:rPr>
          <w:rFonts w:ascii="仿宋_GB2312" w:hAnsi="仿宋_GB2312" w:cs="仿宋_GB2312" w:eastAsia="仿宋_GB2312"/>
        </w:rPr>
        <w:t>（以下简称“代理机构”）受</w:t>
      </w:r>
      <w:r>
        <w:rPr>
          <w:rFonts w:ascii="仿宋_GB2312" w:hAnsi="仿宋_GB2312" w:cs="仿宋_GB2312" w:eastAsia="仿宋_GB2312"/>
        </w:rPr>
        <w:t>勉县气象局</w:t>
      </w:r>
      <w:r>
        <w:rPr>
          <w:rFonts w:ascii="仿宋_GB2312" w:hAnsi="仿宋_GB2312" w:cs="仿宋_GB2312" w:eastAsia="仿宋_GB2312"/>
        </w:rPr>
        <w:t>委托，拟对</w:t>
      </w:r>
      <w:r>
        <w:rPr>
          <w:rFonts w:ascii="仿宋_GB2312" w:hAnsi="仿宋_GB2312" w:cs="仿宋_GB2312" w:eastAsia="仿宋_GB2312"/>
        </w:rPr>
        <w:t>修订暴雨强度公式(二次)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SH-H-W-2025-OO8.1B1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修订暴雨强度公式(二次)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开展勉县雨量资料的整理、分析、暴雨强度公式推导研究，提交《勉县暴雨强度公式推算研究报告》。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法定代表人证明书及授权书：法定代表人证明书及授权书法定代表人（负责人）委托授权书法定代表人（负责人）委托代理人参加磋商活动时，应提供法定代表人（负责人）委托授权书；法定代表人（负责人）亲自参加磋商活动时，应提供法定代表人（负责人）身份证复印件。如法人的分支机构参与磋商活动的，除提供《法定代表人授权委托书》外，还须同时提供法人给分支机构出具的授权书，并加盖公章。法人只能授权一家分支机构参与磋商活动，且不能与分支机构同时参与磋商活动。</w:t>
      </w:r>
    </w:p>
    <w:p>
      <w:pPr>
        <w:pStyle w:val="null3"/>
      </w:pPr>
      <w:r>
        <w:rPr>
          <w:rFonts w:ascii="仿宋_GB2312" w:hAnsi="仿宋_GB2312" w:cs="仿宋_GB2312" w:eastAsia="仿宋_GB2312"/>
        </w:rPr>
        <w:t>3、信誉要求：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 w.creditchina.gov.cn)，未列入中国政府采购网“政府采购严重违法失信行为记录名单”中（w ww.ccgp.gov.cn），供应商需提供加盖公章的《汉中市政府采购供应商资格承诺函》。</w:t>
      </w:r>
    </w:p>
    <w:p>
      <w:pPr>
        <w:pStyle w:val="null3"/>
      </w:pPr>
      <w:r>
        <w:rPr>
          <w:rFonts w:ascii="仿宋_GB2312" w:hAnsi="仿宋_GB2312" w:cs="仿宋_GB2312" w:eastAsia="仿宋_GB2312"/>
        </w:rPr>
        <w:t>4、其他要求：本项目不接受联合体投标，供应商需提供非联合体书面声明。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勉县气象局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勉县勉阳街道办事处三官堂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勉县气象局经办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15129587485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陕西万博景天建设项目管理有限公司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陕西省汉中市汉台区陕西省汉中市汉台区东一环路奥翔智慧大厦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何雅倩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19992781733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开户名称：陕西万博景天建设项目管理有限公司</w:t>
            </w:r>
          </w:p>
          <w:p>
            <w:pPr>
              <w:pStyle w:val="null3"/>
            </w:pPr>
            <w:r>
              <w:rPr>
                <w:rFonts w:ascii="仿宋_GB2312" w:hAnsi="仿宋_GB2312" w:cs="仿宋_GB2312" w:eastAsia="仿宋_GB2312"/>
              </w:rPr>
              <w:t>开户银行：长安银行股份有限公司汉中兴汉路支行</w:t>
            </w:r>
          </w:p>
          <w:p>
            <w:pPr>
              <w:pStyle w:val="null3"/>
            </w:pPr>
            <w:r>
              <w:rPr>
                <w:rFonts w:ascii="仿宋_GB2312" w:hAnsi="仿宋_GB2312" w:cs="仿宋_GB2312" w:eastAsia="仿宋_GB2312"/>
              </w:rPr>
              <w:t>银行账号：806060301421007213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 [2002]1980号）和国家发展改革委员会办公厅颁发的《关于招标代理服务收费有关问题的通知 》（发改办价格[2003] 857号）的有关规定向采购代理机构一次付清代理服务费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勉县气象局</w:t>
      </w:r>
      <w:r>
        <w:rPr>
          <w:rFonts w:ascii="仿宋_GB2312" w:hAnsi="仿宋_GB2312" w:cs="仿宋_GB2312" w:eastAsia="仿宋_GB2312"/>
        </w:rPr>
        <w:t>和</w:t>
      </w:r>
      <w:r>
        <w:rPr>
          <w:rFonts w:ascii="仿宋_GB2312" w:hAnsi="仿宋_GB2312" w:cs="仿宋_GB2312" w:eastAsia="仿宋_GB2312"/>
        </w:rPr>
        <w:t>陕西万博景天建设项目管理有限公司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勉县气象局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陕西万博景天建设项目管理有限公司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勉县气象局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陕西万博景天建设项目管理有限公司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陕西万博景天建设项目管理有限公司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陕西万博景天建设项目管理有限公司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陕西万博景天建设项目管理有限公司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联系人：何雅倩</w:t>
      </w:r>
    </w:p>
    <w:p>
      <w:pPr>
        <w:pStyle w:val="null3"/>
      </w:pPr>
      <w:r>
        <w:rPr>
          <w:rFonts w:ascii="仿宋_GB2312" w:hAnsi="仿宋_GB2312" w:cs="仿宋_GB2312" w:eastAsia="仿宋_GB2312"/>
        </w:rPr>
        <w:t>联系电话：19992781733</w:t>
      </w:r>
    </w:p>
    <w:p>
      <w:pPr>
        <w:pStyle w:val="null3"/>
      </w:pPr>
      <w:r>
        <w:rPr>
          <w:rFonts w:ascii="仿宋_GB2312" w:hAnsi="仿宋_GB2312" w:cs="仿宋_GB2312" w:eastAsia="仿宋_GB2312"/>
        </w:rPr>
        <w:t>地址：陕西省汉中市汉台区东大街街道办事处劳动路五一大厦 A座512室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按照《室外排水技术标准》（GB50014）等有关标准，根据最新降雨统计分析数据变化，及时修订本地暴雨强度公式。</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开展勉县雨量资料的整理、分析、暴雨强度公式推导研究，提交《勉县暴雨强度公式推算研究报告》。</w:t>
            </w:r>
            <w:r>
              <w:br/>
            </w:r>
            <w:r>
              <w:rPr>
                <w:rFonts w:ascii="仿宋_GB2312" w:hAnsi="仿宋_GB2312" w:cs="仿宋_GB2312" w:eastAsia="仿宋_GB2312"/>
              </w:rPr>
              <w:t xml:space="preserve"> 要按照《室外排水设计标准》（GB50014）等有关标准，根据最新降雨统计分析数据变化，根据最新降雨统计分析数据变化，结合本县区近年来灾害性天气的发生情况，及时修订本县暴雨强度公式。</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根据现行《地面气象观测规范》、《室外排水设计标准》、《城市暴雨强度公式编制和设计暴雨雨型确定技术导则》等有关技术规定的要求，编制勉县暴雨强度公式推算研究报告。 </w:t>
            </w:r>
            <w:r>
              <w:br/>
            </w:r>
            <w:r>
              <w:rPr>
                <w:rFonts w:ascii="仿宋_GB2312" w:hAnsi="仿宋_GB2312" w:cs="仿宋_GB2312" w:eastAsia="仿宋_GB2312"/>
              </w:rPr>
              <w:t xml:space="preserve"> 报告主要内容包括：</w:t>
            </w:r>
            <w:r>
              <w:br/>
            </w:r>
            <w:r>
              <w:rPr>
                <w:rFonts w:ascii="仿宋_GB2312" w:hAnsi="仿宋_GB2312" w:cs="仿宋_GB2312" w:eastAsia="仿宋_GB2312"/>
              </w:rPr>
              <w:t xml:space="preserve"> （1）利用勉县国家气象站近50年的逐分钟雨量记录按照《室外排水设计规范》的要求，采用年最大值法采集有效资料样本。数据提取按照“不漏场次、不漏大值”的原则选取降雨过程，每年每个历时选取最大雨量记录。</w:t>
            </w:r>
            <w:r>
              <w:br/>
            </w:r>
            <w:r>
              <w:rPr>
                <w:rFonts w:ascii="仿宋_GB2312" w:hAnsi="仿宋_GB2312" w:cs="仿宋_GB2312" w:eastAsia="仿宋_GB2312"/>
              </w:rPr>
              <w:t xml:space="preserve"> （2）暴雨强度公式根据中华人民共和国最新国家标准《室外排水设计规范》（GB50014）2021年版附录B“暴雨强度公式的编制方法”进行计算、编制。采用国家规范推荐皮尔逊-Ⅲ型分布曲线、耿贝尔分布曲线和指数分布曲线进行拟合试验，选取拟合效果好的概率分布函数进行公式拟合。</w:t>
            </w:r>
            <w:r>
              <w:br/>
            </w:r>
            <w:r>
              <w:rPr>
                <w:rFonts w:ascii="仿宋_GB2312" w:hAnsi="仿宋_GB2312" w:cs="仿宋_GB2312" w:eastAsia="仿宋_GB2312"/>
              </w:rPr>
              <w:t xml:space="preserve"> （3）给出勉县单一重现期暴雨强度公式，即2、3、5、10、20、50、100年重现期降雨强度和降雨历时的关系；图表给出不同重现期、不同历时的降水强度。</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《勉县暴雨强度公式推算研究报告》纸质版（6份）和电子版（1份）</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采购人提供项目相关资料后，中标方于合同签订后60天内提交勉县暴雨强度公式推算研究报告，随时提供中间成果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供应商根据单位自身情况及项目实际情况自主配置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60天内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勉县气象局</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签订合同30天内</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待项目验收合格后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法定代表人证明书及授权书法定代表人（负责人）委托授权书法定代表人（负责人）委托代理人参加磋商活动时，应提供法定代表人（负责人）委托授权书；法定代表人（负责人）亲自参加磋商活动时，应提供法定代表人（负责人）身份证复印件。如法人的分支机构参与磋商活动的，除提供《法定代表人授权委托书》外，还须同时提供法人给分支机构出具的授权书，并加盖公章。法人只能授权一家分支机构参与磋商活动，且不能与分支机构同时参与磋商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 w.creditchina.gov.cn)，未列入中国政府采购网“政府采购严重违法失信行为记录名单”中（w ww.ccgp.gov.cn），供应商需提供加盖公章的《汉中市政府采购供应商资格承诺函》。</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响应文件按照磋商文件要求签署、盖 章。</w:t>
            </w:r>
          </w:p>
        </w:tc>
        <w:tc>
          <w:tcPr>
            <w:tcW w:type="dxa" w:w="1661"/>
          </w:tcPr>
          <w:p>
            <w:pPr>
              <w:pStyle w:val="null3"/>
            </w:pPr>
            <w:r>
              <w:rPr>
                <w:rFonts w:ascii="仿宋_GB2312" w:hAnsi="仿宋_GB2312" w:cs="仿宋_GB2312" w:eastAsia="仿宋_GB2312"/>
              </w:rPr>
              <w:t>业绩.docx 服务内容及服务邀请应答表 中小企业声明函 商务应答表 报价表 响应文件封面 残疾人福利性单位声明函 服务方案 标的清单 资格证明材料.docx 响应函 监狱企业的证明文件 投标保证金.docx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只能有一个报价，且不超过采购预算 （最高限 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投标有效期符合招标文件要求的（提交投标文 件的截止之日起不少于 90天）</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投标人的报价没有出现明显低于其 他通过符合 性审查投标人的报价，没 有影响产品质量且能 诚信履约，投标 人能证明其报价合理性</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响应内容未出现漏项或与要求不符或投标内容 的技术指标达不到磋商文件要求，未造成采购 档次降低或影响服务质量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资格证明材料.docx 响应函 监狱企业的证明文件 投标保证金.docx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不存在其它不符合法律法规或磋商文件规定的 投标无效条款</w:t>
            </w:r>
          </w:p>
        </w:tc>
        <w:tc>
          <w:tcPr>
            <w:tcW w:type="dxa" w:w="1661"/>
          </w:tcPr>
          <w:p>
            <w:pPr>
              <w:pStyle w:val="null3"/>
            </w:pPr>
            <w:r>
              <w:rPr>
                <w:rFonts w:ascii="仿宋_GB2312" w:hAnsi="仿宋_GB2312" w:cs="仿宋_GB2312" w:eastAsia="仿宋_GB2312"/>
              </w:rPr>
              <w:t>服务内容及服务邀请应答表 中小企业声明函 质疑函.docx 商务应答表 报价表 响应文件封面 残疾人福利性单位声明函 服务方案 标的清单 资格证明材料.docx 响应函 投标保证金.docx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自2022年11月至2025年11月）同类型项目合同案例是以提供的供应商自身合同为准，要求必须提供与最终用户签订的合同首页、合同金额所在页、签字盖章页作为证明。每提供一个有效的合同案例的得3分，满分6分，未提供的不得分。 注：1）成功案例业绩证明材料指供应商签订的合同，至少包含合同首页、签字盖章页、合同金额所在页，须加盖供应商公章。 2）本款可作为得分的合同案例仅指供应商自身的合同案例。即合同案例中的乙方必须与供应商的名称完全一致。 3）完成的类似项目合同案例指包含的项目案例。 4）证明材料不完整或不符合以上内容要求或不清晰，导致无法判断是否符合以上要求的，不得分。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供应商除项目负责人外每增加一名气象类相关专业高级职称的人员得4分，中级职称得2分，并在响应文件中提供职称复印件，未提供不得分。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针对本项目的服务方案</w:t>
            </w:r>
          </w:p>
        </w:tc>
        <w:tc>
          <w:tcPr>
            <w:tcW w:type="dxa" w:w="2492"/>
          </w:tcPr>
          <w:p>
            <w:pPr>
              <w:pStyle w:val="null3"/>
            </w:pPr>
            <w:r>
              <w:rPr>
                <w:rFonts w:ascii="仿宋_GB2312" w:hAnsi="仿宋_GB2312" w:cs="仿宋_GB2312" w:eastAsia="仿宋_GB2312"/>
              </w:rPr>
              <w:t>供应商针对本项目的现状和实际需求，制定详细具体、完整实用、科学合理的服务方案，包括但不仅限于服务目标、服务标准、工作流程、工作计划、主要工作内容等。内容齐全且每项内容无缺陷得20分。每缺少一项扣4分，某项有内容但该项内容有缺陷扣1分/项。 注:“缺陷”是指存在以下任一情形:①方案内容与本项目无关:②不适用或不满足本项目需求:③方案内容存在歧义或内容错误:④内容仅有标题或框架。</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服务团队组织架构</w:t>
            </w:r>
          </w:p>
        </w:tc>
        <w:tc>
          <w:tcPr>
            <w:tcW w:type="dxa" w:w="2492"/>
          </w:tcPr>
          <w:p>
            <w:pPr>
              <w:pStyle w:val="null3"/>
            </w:pPr>
            <w:r>
              <w:rPr>
                <w:rFonts w:ascii="仿宋_GB2312" w:hAnsi="仿宋_GB2312" w:cs="仿宋_GB2312" w:eastAsia="仿宋_GB2312"/>
              </w:rPr>
              <w:t>拟担任本项目负责人及项目组实施人员专业素质、技术能力、专业分布、经验、岗位职责等情况，内容齐全且每项内容无缺陷得10分。每缺少一项扣2分，某项有内容但该项内容有缺陷扣0.5分/项。 注:“缺陷”是指存在以下任一情形:①方案内容与本项目无关:②不适用或不满足本项目需求:③方案内容存在歧义或内容错误:④内容仅有标题或框架.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提供完整可行的保证措施，包括但不仅限于质量目标、质量标准、质量检查、质量考核、各环节质量控制体系等内容。内容齐全且每项内容无缺陷得10分。每缺少一项扣2分，某项有内容但该项内容有缺陷扣0.5分/项。 注:“缺陷”是指存在以下任一情形:①方案内容与本项目无关:②不适用或不满足本项目需求:③方案内容存在歧义或内容错误:④内容仅有标题或框架。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项目进度及响应</w:t>
            </w:r>
          </w:p>
        </w:tc>
        <w:tc>
          <w:tcPr>
            <w:tcW w:type="dxa" w:w="2492"/>
          </w:tcPr>
          <w:p>
            <w:pPr>
              <w:pStyle w:val="null3"/>
            </w:pPr>
            <w:r>
              <w:rPr>
                <w:rFonts w:ascii="仿宋_GB2312" w:hAnsi="仿宋_GB2312" w:cs="仿宋_GB2312" w:eastAsia="仿宋_GB2312"/>
              </w:rPr>
              <w:t>针对供应商提供的进度方案进行评审，进度保证措施应包括但不仅限于整体工作进度安排、各环节进度控制、保证体系等内容。内容齐全且每项内容无缺陷得12分。每缺少一项扣4分，某项有内容但该项内容有缺陷扣1分/项。 注:“缺陷”是指存在以下任一情形:①方案内容与本项目无关:②不适用或不满足本项目需求:③方案内容存在歧义或内容错误:④内容仅有标题或框架。</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服务工作重点、难点 分析</w:t>
            </w:r>
          </w:p>
        </w:tc>
        <w:tc>
          <w:tcPr>
            <w:tcW w:type="dxa" w:w="2492"/>
          </w:tcPr>
          <w:p>
            <w:pPr>
              <w:pStyle w:val="null3"/>
            </w:pPr>
            <w:r>
              <w:rPr>
                <w:rFonts w:ascii="仿宋_GB2312" w:hAnsi="仿宋_GB2312" w:cs="仿宋_GB2312" w:eastAsia="仿宋_GB2312"/>
              </w:rPr>
              <w:t>评审小组根据供应商提供的服务工作重点分析、难点分析、合理化建议进行综合评审。内容齐全且每项内容无缺陷得12分。每缺少一项扣4分，某项有内容但该项内容有缺陷扣1.5分/项。 注:“缺陷”是指存在以下任一情形:①方案内容与本项目无关:②不适用或不满足本项目需求:③方案内容存在歧义或内容错误:④内容仅有标题或框架。</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风险应急方案</w:t>
            </w:r>
          </w:p>
        </w:tc>
        <w:tc>
          <w:tcPr>
            <w:tcW w:type="dxa" w:w="2492"/>
          </w:tcPr>
          <w:p>
            <w:pPr>
              <w:pStyle w:val="null3"/>
            </w:pPr>
            <w:r>
              <w:rPr>
                <w:rFonts w:ascii="仿宋_GB2312" w:hAnsi="仿宋_GB2312" w:cs="仿宋_GB2312" w:eastAsia="仿宋_GB2312"/>
              </w:rPr>
              <w:t>磋商小组对各供应商针对本项目风险应急方案进行打分。包括应急预案及关键环节表述、应急人员组成及技术支持等内容。内容齐全且每项内容无缺陷得6分。每缺少一项扣3分，某项有内容但该项内容有缺陷扣0.75分/项。 注:“缺陷”是指存在以下任一情形:①方案内容与本项目无关:②不适用或不满足本项目需求:③方案内容存在歧义或内容错误:④内容仅有标题或框架。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评审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详见附件：质疑函.docx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