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版本号：ZC2026-GC--00220260204002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勉县污水处理设施设备更新项目土建工程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ZC2026-GC--002</w:t>
      </w:r>
      <w:r>
        <w:br/>
      </w:r>
      <w:r>
        <w:br/>
      </w:r>
      <w:r>
        <w:br/>
      </w:r>
    </w:p>
    <w:p>
      <w:pPr>
        <w:pStyle w:val="null3"/>
        <w:jc w:val="center"/>
        <w:outlineLvl w:val="2"/>
      </w:pPr>
      <w:r>
        <w:rPr>
          <w:rFonts w:ascii="仿宋_GB2312" w:hAnsi="仿宋_GB2312" w:cs="仿宋_GB2312" w:eastAsia="仿宋_GB2312"/>
          <w:sz w:val="28"/>
          <w:b/>
        </w:rPr>
        <w:t>勉县园林环卫服务中心</w:t>
      </w:r>
    </w:p>
    <w:p>
      <w:pPr>
        <w:pStyle w:val="null3"/>
        <w:jc w:val="center"/>
        <w:outlineLvl w:val="2"/>
      </w:pPr>
      <w:r>
        <w:rPr>
          <w:rFonts w:ascii="仿宋_GB2312" w:hAnsi="仿宋_GB2312" w:cs="仿宋_GB2312" w:eastAsia="仿宋_GB2312"/>
          <w:sz w:val="28"/>
          <w:b/>
        </w:rPr>
        <w:t>陕西中采项目管理有限公司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陕西中采项目管理有限公司</w:t>
      </w:r>
      <w:r>
        <w:rPr>
          <w:rFonts w:ascii="仿宋_GB2312" w:hAnsi="仿宋_GB2312" w:cs="仿宋_GB2312" w:eastAsia="仿宋_GB2312"/>
        </w:rPr>
        <w:t>（以下简称“代理机构”）受</w:t>
      </w:r>
      <w:r>
        <w:rPr>
          <w:rFonts w:ascii="仿宋_GB2312" w:hAnsi="仿宋_GB2312" w:cs="仿宋_GB2312" w:eastAsia="仿宋_GB2312"/>
        </w:rPr>
        <w:t>勉县园林环卫服务中心</w:t>
      </w:r>
      <w:r>
        <w:rPr>
          <w:rFonts w:ascii="仿宋_GB2312" w:hAnsi="仿宋_GB2312" w:cs="仿宋_GB2312" w:eastAsia="仿宋_GB2312"/>
        </w:rPr>
        <w:t>委托，拟对</w:t>
      </w:r>
      <w:r>
        <w:rPr>
          <w:rFonts w:ascii="仿宋_GB2312" w:hAnsi="仿宋_GB2312" w:cs="仿宋_GB2312" w:eastAsia="仿宋_GB2312"/>
        </w:rPr>
        <w:t>勉县污水处理设施设备更新项目土建工程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ZC2026-GC--002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勉县污水处理设施设备更新项目土建工程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勉县污水处理设施设备更新项目，勉县江北污水处理厂、勉县江南污水处理厂、勉县江南提升泵站图纸范围内土建工程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其他证明资料：供应商应为具有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自然人提供身份证明文件;</w:t>
      </w:r>
    </w:p>
    <w:p>
      <w:pPr>
        <w:pStyle w:val="null3"/>
      </w:pPr>
      <w:r>
        <w:rPr>
          <w:rFonts w:ascii="仿宋_GB2312" w:hAnsi="仿宋_GB2312" w:cs="仿宋_GB2312" w:eastAsia="仿宋_GB2312"/>
        </w:rPr>
        <w:t>2、企业资质：供应商须具备建设行政主管部门核发的【市政公用工程施工总承包三级】及以上资质，并具有有效的安全生产许可证；</w:t>
      </w:r>
    </w:p>
    <w:p>
      <w:pPr>
        <w:pStyle w:val="null3"/>
      </w:pPr>
      <w:r>
        <w:rPr>
          <w:rFonts w:ascii="仿宋_GB2312" w:hAnsi="仿宋_GB2312" w:cs="仿宋_GB2312" w:eastAsia="仿宋_GB2312"/>
        </w:rPr>
        <w:t>3、拟派项目经理资质：供应商拟派项目经理须具备建设行政主管部门颁发的【注册建造师二级】及以上执业资格（市政公用工程专业），且具备有效的安全生产考核证（建安B证），在本单位注册执业资格且未担任其他在建工程项目的项目经理(提供无在建项目承诺书)；</w:t>
      </w:r>
    </w:p>
    <w:p>
      <w:pPr>
        <w:pStyle w:val="null3"/>
      </w:pPr>
      <w:r>
        <w:rPr>
          <w:rFonts w:ascii="仿宋_GB2312" w:hAnsi="仿宋_GB2312" w:cs="仿宋_GB2312" w:eastAsia="仿宋_GB2312"/>
        </w:rPr>
        <w:t>4、供应商信誉要求：供应商不得为“信用中国”网站（www.creditchina.gov.cn）中列入重大税收违法失信主体的供应商；不得为“中国执行信息公开网”（http://zxgk.court.gov.cn）中列入失信被执行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5、非联合体磋商：本项目不接受联合体磋商（提供非联合体声明函）。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勉县园林环卫服务中心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勉县天荡山路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0916-3219995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西安市高新区高新三路9号新时代大厦西四楼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毛鑫、刘静静、张艳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029-88856058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开户名称：陕西中采项目管理有限公司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银行账号：129911536210906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关于印发&lt;招标代理服务收费管理暂行办法&gt;的通知》（计价格[2002]1980号）规定的工程类标准以差额定率累进制计算收取，由成交供应商在领取成交通知书前一次性足额支付给采购代理机构。 造价咨询服务费收费标准：参照陕西省物价局《陕西省住房和建设厅关于我省工程造价咨询服务收费标准有关问题通知》（陕价行发【2014】88号）计费办法，以编制的招标上限控制价为基数进行计算收取，由成交供应商在领取成交通知书前一次性足额支付给采购代理机构。</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勉县园林环卫服务中心</w:t>
      </w:r>
      <w:r>
        <w:rPr>
          <w:rFonts w:ascii="仿宋_GB2312" w:hAnsi="仿宋_GB2312" w:cs="仿宋_GB2312" w:eastAsia="仿宋_GB2312"/>
        </w:rPr>
        <w:t>和</w:t>
      </w:r>
      <w:r>
        <w:rPr>
          <w:rFonts w:ascii="仿宋_GB2312" w:hAnsi="仿宋_GB2312" w:cs="仿宋_GB2312" w:eastAsia="仿宋_GB2312"/>
        </w:rPr>
        <w:t>陕西中采项目管理有限公司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勉县园林环卫服务中心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勉县园林环卫服务中心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联系人：毛鑫、张艳</w:t>
      </w:r>
    </w:p>
    <w:p>
      <w:pPr>
        <w:pStyle w:val="null3"/>
      </w:pPr>
      <w:r>
        <w:rPr>
          <w:rFonts w:ascii="仿宋_GB2312" w:hAnsi="仿宋_GB2312" w:cs="仿宋_GB2312" w:eastAsia="仿宋_GB2312"/>
        </w:rPr>
        <w:t>联系电话：029-88856058</w:t>
      </w:r>
    </w:p>
    <w:p>
      <w:pPr>
        <w:pStyle w:val="null3"/>
      </w:pPr>
      <w:r>
        <w:rPr>
          <w:rFonts w:ascii="仿宋_GB2312" w:hAnsi="仿宋_GB2312" w:cs="仿宋_GB2312" w:eastAsia="仿宋_GB2312"/>
        </w:rPr>
        <w:t>地址：西安市高新区高新三路9号新时代大厦西四楼</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3,940,000.00</w:t>
      </w:r>
    </w:p>
    <w:p>
      <w:pPr>
        <w:pStyle w:val="null3"/>
      </w:pPr>
      <w:r>
        <w:rPr>
          <w:rFonts w:ascii="仿宋_GB2312" w:hAnsi="仿宋_GB2312" w:cs="仿宋_GB2312" w:eastAsia="仿宋_GB2312"/>
        </w:rPr>
        <w:t>采购包最高限价（元）: 3,940,000.00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3940000</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3,940,000.00</w:t>
            </w:r>
          </w:p>
        </w:tc>
        <w:tc>
          <w:tcPr>
            <w:tcW w:type="dxa" w:w="1384"/>
          </w:tcPr>
          <w:p>
            <w:pPr>
              <w:pStyle w:val="null3"/>
            </w:pPr>
            <w:r>
              <w:rPr>
                <w:rFonts w:ascii="仿宋_GB2312" w:hAnsi="仿宋_GB2312" w:cs="仿宋_GB2312" w:eastAsia="仿宋_GB2312"/>
              </w:rPr>
              <w:t>次</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标的名称：3940000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color w:val="241FFF"/>
              </w:rPr>
              <w:t>1.项目概况：</w:t>
            </w:r>
          </w:p>
          <w:p>
            <w:pPr>
              <w:pStyle w:val="null3"/>
              <w:jc w:val="left"/>
            </w:pPr>
            <w:r>
              <w:rPr>
                <w:rFonts w:ascii="仿宋_GB2312" w:hAnsi="仿宋_GB2312" w:cs="仿宋_GB2312" w:eastAsia="仿宋_GB2312"/>
                <w:sz w:val="21"/>
                <w:color w:val="241FFF"/>
              </w:rPr>
              <w:t>勉县污水处理设施设备更新项目</w:t>
            </w:r>
            <w:r>
              <w:rPr>
                <w:rFonts w:ascii="仿宋_GB2312" w:hAnsi="仿宋_GB2312" w:cs="仿宋_GB2312" w:eastAsia="仿宋_GB2312"/>
                <w:sz w:val="21"/>
                <w:color w:val="241FFF"/>
              </w:rPr>
              <w:t>，</w:t>
            </w:r>
            <w:r>
              <w:rPr>
                <w:rFonts w:ascii="仿宋_GB2312" w:hAnsi="仿宋_GB2312" w:cs="仿宋_GB2312" w:eastAsia="仿宋_GB2312"/>
                <w:sz w:val="21"/>
                <w:color w:val="241FFF"/>
              </w:rPr>
              <w:t>勉县江北污水处理厂、勉县江南污水处理厂、勉县江南提升泵站图纸范围内土建工程</w:t>
            </w:r>
            <w:r>
              <w:rPr>
                <w:rFonts w:ascii="仿宋_GB2312" w:hAnsi="仿宋_GB2312" w:cs="仿宋_GB2312" w:eastAsia="仿宋_GB2312"/>
                <w:sz w:val="21"/>
                <w:color w:val="241FFF"/>
              </w:rPr>
              <w:t>。</w:t>
            </w:r>
          </w:p>
          <w:p>
            <w:pPr>
              <w:pStyle w:val="null3"/>
              <w:jc w:val="left"/>
            </w:pPr>
            <w:r>
              <w:rPr>
                <w:rFonts w:ascii="仿宋_GB2312" w:hAnsi="仿宋_GB2312" w:cs="仿宋_GB2312" w:eastAsia="仿宋_GB2312"/>
                <w:sz w:val="21"/>
                <w:b/>
                <w:color w:val="241FFF"/>
              </w:rPr>
              <w:t>2.</w:t>
            </w:r>
            <w:r>
              <w:rPr>
                <w:rFonts w:ascii="仿宋_GB2312" w:hAnsi="仿宋_GB2312" w:cs="仿宋_GB2312" w:eastAsia="仿宋_GB2312"/>
                <w:sz w:val="21"/>
                <w:b/>
                <w:color w:val="241FFF"/>
              </w:rPr>
              <w:t>编制范围及内容</w:t>
            </w:r>
          </w:p>
          <w:p>
            <w:pPr>
              <w:pStyle w:val="null3"/>
              <w:jc w:val="left"/>
            </w:pPr>
            <w:r>
              <w:rPr>
                <w:rFonts w:ascii="仿宋_GB2312" w:hAnsi="仿宋_GB2312" w:cs="仿宋_GB2312" w:eastAsia="仿宋_GB2312"/>
                <w:sz w:val="21"/>
                <w:color w:val="241FFF"/>
              </w:rPr>
              <w:t>本项目施工图纸范围内的内容，具体编制范围详见设计说明及工程量清单。</w:t>
            </w:r>
          </w:p>
          <w:p>
            <w:pPr>
              <w:pStyle w:val="null3"/>
              <w:jc w:val="left"/>
            </w:pPr>
            <w:r>
              <w:rPr>
                <w:rFonts w:ascii="仿宋_GB2312" w:hAnsi="仿宋_GB2312" w:cs="仿宋_GB2312" w:eastAsia="仿宋_GB2312"/>
                <w:sz w:val="21"/>
                <w:b/>
                <w:color w:val="241FFF"/>
              </w:rPr>
              <w:t>3.</w:t>
            </w:r>
            <w:r>
              <w:rPr>
                <w:rFonts w:ascii="仿宋_GB2312" w:hAnsi="仿宋_GB2312" w:cs="仿宋_GB2312" w:eastAsia="仿宋_GB2312"/>
                <w:sz w:val="21"/>
                <w:b/>
                <w:color w:val="241FFF"/>
              </w:rPr>
              <w:t>编制依据：</w:t>
            </w:r>
          </w:p>
          <w:p>
            <w:pPr>
              <w:pStyle w:val="null3"/>
              <w:jc w:val="left"/>
            </w:pPr>
            <w:r>
              <w:rPr>
                <w:rFonts w:ascii="仿宋_GB2312" w:hAnsi="仿宋_GB2312" w:cs="仿宋_GB2312" w:eastAsia="仿宋_GB2312"/>
                <w:sz w:val="21"/>
                <w:color w:val="241FFF"/>
              </w:rPr>
              <w:t>（</w:t>
            </w:r>
            <w:r>
              <w:rPr>
                <w:rFonts w:ascii="仿宋_GB2312" w:hAnsi="仿宋_GB2312" w:cs="仿宋_GB2312" w:eastAsia="仿宋_GB2312"/>
                <w:sz w:val="21"/>
                <w:color w:val="241FFF"/>
              </w:rPr>
              <w:t>1）</w:t>
            </w:r>
            <w:r>
              <w:rPr>
                <w:rFonts w:ascii="仿宋_GB2312" w:hAnsi="仿宋_GB2312" w:cs="仿宋_GB2312" w:eastAsia="仿宋_GB2312"/>
                <w:sz w:val="21"/>
                <w:color w:val="241FFF"/>
              </w:rPr>
              <w:t>《关于印发</w:t>
            </w:r>
            <w:r>
              <w:rPr>
                <w:rFonts w:ascii="仿宋_GB2312" w:hAnsi="仿宋_GB2312" w:cs="仿宋_GB2312" w:eastAsia="仿宋_GB2312"/>
                <w:sz w:val="21"/>
                <w:color w:val="241FFF"/>
              </w:rPr>
              <w:t>2025陕西省建设工程费用规则等计价依据的通知》（陕建管发〔2025〕10号），陕西省工程建设标准《建设工程工程量清单计价标准》（2025）、《房屋建筑与装饰工程工程量计算标准》（2025）、《市政工程工程量计算标准》（2025）、《通用安装工程工程量计算标准》（2025）、《园林绿化工程工程量计算标准》（2025）；</w:t>
            </w:r>
          </w:p>
          <w:p>
            <w:pPr>
              <w:pStyle w:val="null3"/>
              <w:jc w:val="left"/>
            </w:pPr>
            <w:r>
              <w:rPr>
                <w:rFonts w:ascii="仿宋_GB2312" w:hAnsi="仿宋_GB2312" w:cs="仿宋_GB2312" w:eastAsia="仿宋_GB2312"/>
                <w:sz w:val="21"/>
                <w:color w:val="241FFF"/>
              </w:rPr>
              <w:t>（</w:t>
            </w:r>
            <w:r>
              <w:rPr>
                <w:rFonts w:ascii="仿宋_GB2312" w:hAnsi="仿宋_GB2312" w:cs="仿宋_GB2312" w:eastAsia="仿宋_GB2312"/>
                <w:sz w:val="21"/>
                <w:color w:val="241FFF"/>
              </w:rPr>
              <w:t>2）</w:t>
            </w:r>
            <w:r>
              <w:rPr>
                <w:rFonts w:ascii="仿宋_GB2312" w:hAnsi="仿宋_GB2312" w:cs="仿宋_GB2312" w:eastAsia="仿宋_GB2312"/>
                <w:sz w:val="21"/>
                <w:color w:val="241FFF"/>
              </w:rPr>
              <w:t>《陕西省建设工程费用规则》（</w:t>
            </w:r>
            <w:r>
              <w:rPr>
                <w:rFonts w:ascii="仿宋_GB2312" w:hAnsi="仿宋_GB2312" w:cs="仿宋_GB2312" w:eastAsia="仿宋_GB2312"/>
                <w:sz w:val="21"/>
                <w:color w:val="241FFF"/>
              </w:rPr>
              <w:t>2025）；《陕西省房屋建筑与装饰工程消耗量定额》（2025）、《陕西省通用安装工程消耗量定额》（2025）、《陕西省市政工程消耗量定额》（2025）、《陕西省园林绿化工程消耗量定额》（2025）；与定额相配套使用的基价表；《陕西省建设工程施工机械台班费用定额》（2025）；《陕西省建设工程施工仪器仪表台班费用定额》（2025）及其他相关的计价依据和办法；</w:t>
            </w:r>
          </w:p>
          <w:p>
            <w:pPr>
              <w:pStyle w:val="null3"/>
              <w:jc w:val="left"/>
            </w:pPr>
            <w:r>
              <w:rPr>
                <w:rFonts w:ascii="仿宋_GB2312" w:hAnsi="仿宋_GB2312" w:cs="仿宋_GB2312" w:eastAsia="仿宋_GB2312"/>
                <w:sz w:val="21"/>
                <w:color w:val="241FFF"/>
              </w:rPr>
              <w:t>（</w:t>
            </w:r>
            <w:r>
              <w:rPr>
                <w:rFonts w:ascii="仿宋_GB2312" w:hAnsi="仿宋_GB2312" w:cs="仿宋_GB2312" w:eastAsia="仿宋_GB2312"/>
                <w:sz w:val="21"/>
                <w:color w:val="241FFF"/>
              </w:rPr>
              <w:t>3）</w:t>
            </w:r>
            <w:r>
              <w:rPr>
                <w:rFonts w:ascii="仿宋_GB2312" w:hAnsi="仿宋_GB2312" w:cs="仿宋_GB2312" w:eastAsia="仿宋_GB2312"/>
                <w:sz w:val="21"/>
                <w:color w:val="241FFF"/>
              </w:rPr>
              <w:t>与建设工程项目有关的标准、规范、图集、技术资料；</w:t>
            </w:r>
          </w:p>
          <w:p>
            <w:pPr>
              <w:pStyle w:val="null3"/>
              <w:jc w:val="left"/>
            </w:pPr>
            <w:r>
              <w:rPr>
                <w:rFonts w:ascii="仿宋_GB2312" w:hAnsi="仿宋_GB2312" w:cs="仿宋_GB2312" w:eastAsia="仿宋_GB2312"/>
                <w:sz w:val="21"/>
                <w:color w:val="241FFF"/>
              </w:rPr>
              <w:t>（</w:t>
            </w:r>
            <w:r>
              <w:rPr>
                <w:rFonts w:ascii="仿宋_GB2312" w:hAnsi="仿宋_GB2312" w:cs="仿宋_GB2312" w:eastAsia="仿宋_GB2312"/>
                <w:sz w:val="21"/>
                <w:color w:val="241FFF"/>
              </w:rPr>
              <w:t>4）</w:t>
            </w:r>
            <w:r>
              <w:rPr>
                <w:rFonts w:ascii="仿宋_GB2312" w:hAnsi="仿宋_GB2312" w:cs="仿宋_GB2312" w:eastAsia="仿宋_GB2312"/>
                <w:sz w:val="21"/>
                <w:color w:val="241FFF"/>
              </w:rPr>
              <w:t>主要材料价格参照</w:t>
            </w:r>
            <w:r>
              <w:rPr>
                <w:rFonts w:ascii="仿宋_GB2312" w:hAnsi="仿宋_GB2312" w:cs="仿宋_GB2312" w:eastAsia="仿宋_GB2312"/>
                <w:sz w:val="21"/>
                <w:color w:val="241FFF"/>
              </w:rPr>
              <w:t>2025年第11期《汉中工程造价信息》，信息价中没有的材料或信息价与市场价偏差较大的材料按照市场价进行编制；</w:t>
            </w:r>
          </w:p>
          <w:p>
            <w:pPr>
              <w:pStyle w:val="null3"/>
              <w:jc w:val="left"/>
            </w:pPr>
            <w:r>
              <w:rPr>
                <w:rFonts w:ascii="仿宋_GB2312" w:hAnsi="仿宋_GB2312" w:cs="仿宋_GB2312" w:eastAsia="仿宋_GB2312"/>
                <w:sz w:val="21"/>
                <w:color w:val="241FFF"/>
              </w:rPr>
              <w:t>（</w:t>
            </w:r>
            <w:r>
              <w:rPr>
                <w:rFonts w:ascii="仿宋_GB2312" w:hAnsi="仿宋_GB2312" w:cs="仿宋_GB2312" w:eastAsia="仿宋_GB2312"/>
                <w:sz w:val="21"/>
                <w:color w:val="241FFF"/>
              </w:rPr>
              <w:t>5）</w:t>
            </w:r>
            <w:r>
              <w:rPr>
                <w:rFonts w:ascii="仿宋_GB2312" w:hAnsi="仿宋_GB2312" w:cs="仿宋_GB2312" w:eastAsia="仿宋_GB2312"/>
                <w:sz w:val="21"/>
                <w:color w:val="241FFF"/>
              </w:rPr>
              <w:t>本工程量清单所提供工程项目特征仅表达了主要工程做法，组价时应依据设计图纸、相关图集，结合招标文件，合同条款，技术规范、图纸、答疑纪要等进行组价；</w:t>
            </w:r>
          </w:p>
          <w:p>
            <w:pPr>
              <w:pStyle w:val="null3"/>
              <w:jc w:val="left"/>
            </w:pPr>
            <w:r>
              <w:rPr>
                <w:rFonts w:ascii="仿宋_GB2312" w:hAnsi="仿宋_GB2312" w:cs="仿宋_GB2312" w:eastAsia="仿宋_GB2312"/>
                <w:sz w:val="21"/>
                <w:color w:val="241FFF"/>
              </w:rPr>
              <w:t>（</w:t>
            </w:r>
            <w:r>
              <w:rPr>
                <w:rFonts w:ascii="仿宋_GB2312" w:hAnsi="仿宋_GB2312" w:cs="仿宋_GB2312" w:eastAsia="仿宋_GB2312"/>
                <w:sz w:val="21"/>
                <w:color w:val="241FFF"/>
              </w:rPr>
              <w:t>6）</w:t>
            </w:r>
            <w:r>
              <w:rPr>
                <w:rFonts w:ascii="仿宋_GB2312" w:hAnsi="仿宋_GB2312" w:cs="仿宋_GB2312" w:eastAsia="仿宋_GB2312"/>
                <w:sz w:val="21"/>
                <w:color w:val="241FFF"/>
              </w:rPr>
              <w:t>工程特点及常规施工方案，现行国家和陕西省建筑施工规范。</w:t>
            </w:r>
          </w:p>
          <w:p>
            <w:pPr>
              <w:pStyle w:val="null3"/>
              <w:jc w:val="left"/>
            </w:pPr>
            <w:r>
              <w:rPr>
                <w:rFonts w:ascii="仿宋_GB2312" w:hAnsi="仿宋_GB2312" w:cs="仿宋_GB2312" w:eastAsia="仿宋_GB2312"/>
                <w:sz w:val="21"/>
                <w:b/>
                <w:color w:val="241FFF"/>
              </w:rPr>
              <w:t>4.</w:t>
            </w:r>
            <w:r>
              <w:rPr>
                <w:rFonts w:ascii="仿宋_GB2312" w:hAnsi="仿宋_GB2312" w:cs="仿宋_GB2312" w:eastAsia="仿宋_GB2312"/>
                <w:sz w:val="21"/>
                <w:b/>
                <w:color w:val="241FFF"/>
              </w:rPr>
              <w:t>相关说明：</w:t>
            </w:r>
          </w:p>
          <w:p>
            <w:pPr>
              <w:pStyle w:val="null3"/>
              <w:jc w:val="left"/>
            </w:pPr>
            <w:r>
              <w:rPr>
                <w:rFonts w:ascii="仿宋_GB2312" w:hAnsi="仿宋_GB2312" w:cs="仿宋_GB2312" w:eastAsia="仿宋_GB2312"/>
                <w:sz w:val="21"/>
                <w:color w:val="241FFF"/>
              </w:rPr>
              <w:t>（</w:t>
            </w:r>
            <w:r>
              <w:rPr>
                <w:rFonts w:ascii="仿宋_GB2312" w:hAnsi="仿宋_GB2312" w:cs="仿宋_GB2312" w:eastAsia="仿宋_GB2312"/>
                <w:sz w:val="21"/>
                <w:color w:val="241FFF"/>
              </w:rPr>
              <w:t>1）</w:t>
            </w:r>
            <w:r>
              <w:rPr>
                <w:rFonts w:ascii="仿宋_GB2312" w:hAnsi="仿宋_GB2312" w:cs="仿宋_GB2312" w:eastAsia="仿宋_GB2312"/>
                <w:sz w:val="21"/>
                <w:color w:val="241FFF"/>
              </w:rPr>
              <w:t>本工程暂估价</w:t>
            </w:r>
            <w:r>
              <w:rPr>
                <w:rFonts w:ascii="仿宋_GB2312" w:hAnsi="仿宋_GB2312" w:cs="仿宋_GB2312" w:eastAsia="仿宋_GB2312"/>
                <w:sz w:val="21"/>
                <w:color w:val="241FFF"/>
              </w:rPr>
              <w:t>62.7万元；</w:t>
            </w:r>
          </w:p>
          <w:p>
            <w:pPr>
              <w:pStyle w:val="null3"/>
              <w:jc w:val="left"/>
            </w:pPr>
            <w:r>
              <w:rPr>
                <w:rFonts w:ascii="仿宋_GB2312" w:hAnsi="仿宋_GB2312" w:cs="仿宋_GB2312" w:eastAsia="仿宋_GB2312"/>
                <w:sz w:val="21"/>
                <w:color w:val="241FFF"/>
              </w:rPr>
              <w:t>（</w:t>
            </w:r>
            <w:r>
              <w:rPr>
                <w:rFonts w:ascii="仿宋_GB2312" w:hAnsi="仿宋_GB2312" w:cs="仿宋_GB2312" w:eastAsia="仿宋_GB2312"/>
                <w:sz w:val="21"/>
                <w:color w:val="241FFF"/>
              </w:rPr>
              <w:t>2）</w:t>
            </w:r>
            <w:r>
              <w:rPr>
                <w:rFonts w:ascii="仿宋_GB2312" w:hAnsi="仿宋_GB2312" w:cs="仿宋_GB2312" w:eastAsia="仿宋_GB2312"/>
                <w:sz w:val="21"/>
                <w:color w:val="241FFF"/>
              </w:rPr>
              <w:t>本工程量清单采用广联达云计价平台（</w:t>
            </w:r>
            <w:r>
              <w:rPr>
                <w:rFonts w:ascii="仿宋_GB2312" w:hAnsi="仿宋_GB2312" w:cs="仿宋_GB2312" w:eastAsia="仿宋_GB2312"/>
                <w:sz w:val="21"/>
                <w:color w:val="241FFF"/>
              </w:rPr>
              <w:t>GCCP7.5000.23.2）版本编制；</w:t>
            </w:r>
          </w:p>
          <w:p>
            <w:pPr>
              <w:pStyle w:val="null3"/>
              <w:jc w:val="left"/>
            </w:pPr>
            <w:r>
              <w:rPr>
                <w:rFonts w:ascii="仿宋_GB2312" w:hAnsi="仿宋_GB2312" w:cs="仿宋_GB2312" w:eastAsia="仿宋_GB2312"/>
                <w:sz w:val="21"/>
                <w:color w:val="241FFF"/>
              </w:rPr>
              <w:t>（</w:t>
            </w:r>
            <w:r>
              <w:rPr>
                <w:rFonts w:ascii="仿宋_GB2312" w:hAnsi="仿宋_GB2312" w:cs="仿宋_GB2312" w:eastAsia="仿宋_GB2312"/>
                <w:sz w:val="21"/>
                <w:color w:val="241FFF"/>
              </w:rPr>
              <w:t>3）</w:t>
            </w:r>
            <w:r>
              <w:rPr>
                <w:rFonts w:ascii="仿宋_GB2312" w:hAnsi="仿宋_GB2312" w:cs="仿宋_GB2312" w:eastAsia="仿宋_GB2312"/>
                <w:sz w:val="21"/>
                <w:color w:val="241FFF"/>
              </w:rPr>
              <w:t>混凝土按照商品混凝土计入，砂浆按照预拌砂浆计入。</w:t>
            </w:r>
          </w:p>
          <w:p>
            <w:pPr>
              <w:pStyle w:val="null3"/>
              <w:jc w:val="left"/>
            </w:pPr>
            <w:r>
              <w:rPr>
                <w:rFonts w:ascii="仿宋_GB2312" w:hAnsi="仿宋_GB2312" w:cs="仿宋_GB2312" w:eastAsia="仿宋_GB2312"/>
                <w:sz w:val="21"/>
                <w:b/>
                <w:color w:val="241FFF"/>
              </w:rPr>
              <w:t>5.</w:t>
            </w:r>
            <w:r>
              <w:rPr>
                <w:rFonts w:ascii="仿宋_GB2312" w:hAnsi="仿宋_GB2312" w:cs="仿宋_GB2312" w:eastAsia="仿宋_GB2312"/>
                <w:sz w:val="21"/>
                <w:b/>
                <w:color w:val="241FFF"/>
              </w:rPr>
              <w:t>工程量清单及图纸（详见附件）</w:t>
            </w:r>
          </w:p>
          <w:p>
            <w:pPr>
              <w:pStyle w:val="null3"/>
              <w:jc w:val="left"/>
            </w:pPr>
            <w:r>
              <w:rPr>
                <w:rFonts w:ascii="仿宋_GB2312" w:hAnsi="仿宋_GB2312" w:cs="仿宋_GB2312" w:eastAsia="仿宋_GB2312"/>
                <w:sz w:val="21"/>
                <w:b/>
                <w:color w:val="241FFF"/>
              </w:rPr>
              <w:t>6</w:t>
            </w:r>
            <w:r>
              <w:rPr>
                <w:rFonts w:ascii="仿宋_GB2312" w:hAnsi="仿宋_GB2312" w:cs="仿宋_GB2312" w:eastAsia="仿宋_GB2312"/>
                <w:sz w:val="21"/>
                <w:b/>
                <w:color w:val="241FFF"/>
              </w:rPr>
              <w:t>.计划工期</w:t>
            </w:r>
            <w:r>
              <w:rPr>
                <w:rFonts w:ascii="仿宋_GB2312" w:hAnsi="仿宋_GB2312" w:cs="仿宋_GB2312" w:eastAsia="仿宋_GB2312"/>
                <w:sz w:val="21"/>
                <w:color w:val="241FFF"/>
              </w:rPr>
              <w:t>：</w:t>
            </w:r>
            <w:r>
              <w:rPr>
                <w:rFonts w:ascii="仿宋_GB2312" w:hAnsi="仿宋_GB2312" w:cs="仿宋_GB2312" w:eastAsia="仿宋_GB2312"/>
                <w:sz w:val="21"/>
                <w:color w:val="241FFF"/>
              </w:rPr>
              <w:t>60日历天</w:t>
            </w:r>
          </w:p>
          <w:p>
            <w:pPr>
              <w:pStyle w:val="null3"/>
              <w:jc w:val="left"/>
            </w:pPr>
            <w:r>
              <w:rPr>
                <w:rFonts w:ascii="仿宋_GB2312" w:hAnsi="仿宋_GB2312" w:cs="仿宋_GB2312" w:eastAsia="仿宋_GB2312"/>
                <w:sz w:val="21"/>
                <w:b/>
                <w:color w:val="241FFF"/>
              </w:rPr>
              <w:t>7</w:t>
            </w:r>
            <w:r>
              <w:rPr>
                <w:rFonts w:ascii="仿宋_GB2312" w:hAnsi="仿宋_GB2312" w:cs="仿宋_GB2312" w:eastAsia="仿宋_GB2312"/>
                <w:sz w:val="21"/>
                <w:b/>
                <w:color w:val="241FFF"/>
              </w:rPr>
              <w:t>.质保期：</w:t>
            </w:r>
            <w:r>
              <w:rPr>
                <w:rFonts w:ascii="仿宋_GB2312" w:hAnsi="仿宋_GB2312" w:cs="仿宋_GB2312" w:eastAsia="仿宋_GB2312"/>
                <w:sz w:val="21"/>
                <w:color w:val="241FFF"/>
              </w:rPr>
              <w:t>验收合格后</w:t>
            </w:r>
            <w:r>
              <w:rPr>
                <w:rFonts w:ascii="仿宋_GB2312" w:hAnsi="仿宋_GB2312" w:cs="仿宋_GB2312" w:eastAsia="仿宋_GB2312"/>
                <w:sz w:val="21"/>
                <w:color w:val="241FFF"/>
              </w:rPr>
              <w:t>5年</w:t>
            </w:r>
          </w:p>
          <w:p>
            <w:pPr>
              <w:pStyle w:val="null3"/>
              <w:jc w:val="left"/>
            </w:pPr>
            <w:r>
              <w:rPr>
                <w:rFonts w:ascii="仿宋_GB2312" w:hAnsi="仿宋_GB2312" w:cs="仿宋_GB2312" w:eastAsia="仿宋_GB2312"/>
                <w:sz w:val="21"/>
                <w:b/>
                <w:color w:val="241FFF"/>
              </w:rPr>
              <w:t>8</w:t>
            </w:r>
            <w:r>
              <w:rPr>
                <w:rFonts w:ascii="仿宋_GB2312" w:hAnsi="仿宋_GB2312" w:cs="仿宋_GB2312" w:eastAsia="仿宋_GB2312"/>
                <w:sz w:val="21"/>
                <w:b/>
                <w:color w:val="241FFF"/>
              </w:rPr>
              <w:t>.质量标准：</w:t>
            </w:r>
            <w:r>
              <w:rPr>
                <w:rFonts w:ascii="仿宋_GB2312" w:hAnsi="仿宋_GB2312" w:cs="仿宋_GB2312" w:eastAsia="仿宋_GB2312"/>
                <w:sz w:val="21"/>
                <w:color w:val="241FFF"/>
              </w:rPr>
              <w:t>符合国家现行有关施工质量验收规范</w:t>
            </w:r>
            <w:r>
              <w:rPr>
                <w:rFonts w:ascii="仿宋_GB2312" w:hAnsi="仿宋_GB2312" w:cs="仿宋_GB2312" w:eastAsia="仿宋_GB2312"/>
                <w:sz w:val="21"/>
                <w:color w:val="241FFF"/>
              </w:rPr>
              <w:t>“合格”要求</w:t>
            </w:r>
          </w:p>
          <w:p>
            <w:pPr>
              <w:pStyle w:val="null3"/>
              <w:jc w:val="left"/>
            </w:pPr>
            <w:r>
              <w:rPr>
                <w:rFonts w:ascii="仿宋_GB2312" w:hAnsi="仿宋_GB2312" w:cs="仿宋_GB2312" w:eastAsia="仿宋_GB2312"/>
                <w:sz w:val="21"/>
                <w:b/>
                <w:color w:val="241FFF"/>
              </w:rPr>
              <w:t>9</w:t>
            </w:r>
            <w:r>
              <w:rPr>
                <w:rFonts w:ascii="仿宋_GB2312" w:hAnsi="仿宋_GB2312" w:cs="仿宋_GB2312" w:eastAsia="仿宋_GB2312"/>
                <w:sz w:val="21"/>
                <w:b/>
                <w:color w:val="241FFF"/>
              </w:rPr>
              <w:t>.建设地点</w:t>
            </w:r>
            <w:r>
              <w:rPr>
                <w:rFonts w:ascii="仿宋_GB2312" w:hAnsi="仿宋_GB2312" w:cs="仿宋_GB2312" w:eastAsia="仿宋_GB2312"/>
                <w:sz w:val="21"/>
                <w:color w:val="241FFF"/>
              </w:rPr>
              <w:t>：</w:t>
            </w:r>
            <w:r>
              <w:rPr>
                <w:rFonts w:ascii="仿宋_GB2312" w:hAnsi="仿宋_GB2312" w:cs="仿宋_GB2312" w:eastAsia="仿宋_GB2312"/>
                <w:sz w:val="21"/>
                <w:color w:val="241FFF"/>
              </w:rPr>
              <w:t>陕西省汉中市勉县</w:t>
            </w:r>
          </w:p>
          <w:p>
            <w:pPr>
              <w:pStyle w:val="null3"/>
            </w:pPr>
            <w:r>
              <w:rPr>
                <w:rFonts w:ascii="仿宋_GB2312" w:hAnsi="仿宋_GB2312" w:cs="仿宋_GB2312" w:eastAsia="仿宋_GB2312"/>
                <w:sz w:val="21"/>
                <w:b/>
                <w:color w:val="241FFF"/>
              </w:rPr>
              <w:t>10</w:t>
            </w:r>
            <w:r>
              <w:rPr>
                <w:rFonts w:ascii="仿宋_GB2312" w:hAnsi="仿宋_GB2312" w:cs="仿宋_GB2312" w:eastAsia="仿宋_GB2312"/>
                <w:sz w:val="21"/>
                <w:b/>
                <w:color w:val="241FFF"/>
              </w:rPr>
              <w:t>.</w:t>
            </w:r>
            <w:r>
              <w:rPr>
                <w:rFonts w:ascii="仿宋_GB2312" w:hAnsi="仿宋_GB2312" w:cs="仿宋_GB2312" w:eastAsia="仿宋_GB2312"/>
                <w:sz w:val="21"/>
                <w:b/>
                <w:color w:val="241FFF"/>
              </w:rPr>
              <w:t>合同价款：</w:t>
            </w:r>
          </w:p>
          <w:p>
            <w:pPr>
              <w:pStyle w:val="null3"/>
            </w:pPr>
            <w:r>
              <w:rPr>
                <w:rFonts w:ascii="仿宋_GB2312" w:hAnsi="仿宋_GB2312" w:cs="仿宋_GB2312" w:eastAsia="仿宋_GB2312"/>
                <w:sz w:val="21"/>
                <w:color w:val="241FFF"/>
              </w:rPr>
              <w:t>本项目为固定综合单价合同；</w:t>
            </w:r>
          </w:p>
          <w:p>
            <w:pPr>
              <w:pStyle w:val="null3"/>
            </w:pPr>
            <w:r>
              <w:rPr>
                <w:rFonts w:ascii="仿宋_GB2312" w:hAnsi="仿宋_GB2312" w:cs="仿宋_GB2312" w:eastAsia="仿宋_GB2312"/>
                <w:sz w:val="21"/>
                <w:color w:val="241FFF"/>
              </w:rPr>
              <w:t>最终磋商总报价为本项目合同暂定总价；</w:t>
            </w:r>
          </w:p>
          <w:p>
            <w:pPr>
              <w:pStyle w:val="null3"/>
            </w:pPr>
            <w:r>
              <w:rPr>
                <w:rFonts w:ascii="仿宋_GB2312" w:hAnsi="仿宋_GB2312" w:cs="仿宋_GB2312" w:eastAsia="仿宋_GB2312"/>
                <w:sz w:val="21"/>
                <w:color w:val="241FFF"/>
              </w:rPr>
              <w:t>报价下浮率</w:t>
            </w:r>
            <w:r>
              <w:rPr>
                <w:rFonts w:ascii="仿宋_GB2312" w:hAnsi="仿宋_GB2312" w:cs="仿宋_GB2312" w:eastAsia="仿宋_GB2312"/>
                <w:sz w:val="21"/>
                <w:color w:val="241FFF"/>
              </w:rPr>
              <w:t>=（首次总报价-最终总报价）/首次总报价×100%；</w:t>
            </w:r>
          </w:p>
          <w:p>
            <w:pPr>
              <w:pStyle w:val="null3"/>
            </w:pPr>
            <w:r>
              <w:rPr>
                <w:rFonts w:ascii="仿宋_GB2312" w:hAnsi="仿宋_GB2312" w:cs="仿宋_GB2312" w:eastAsia="仿宋_GB2312"/>
                <w:sz w:val="21"/>
                <w:color w:val="241FFF"/>
              </w:rPr>
              <w:t>结算价款</w:t>
            </w:r>
            <w:r>
              <w:rPr>
                <w:rFonts w:ascii="仿宋_GB2312" w:hAnsi="仿宋_GB2312" w:cs="仿宋_GB2312" w:eastAsia="仿宋_GB2312"/>
                <w:sz w:val="21"/>
                <w:color w:val="241FFF"/>
              </w:rPr>
              <w:t>=第一次各项综合单价×实际发生且经验收合格的工程量×（1-报价下浮率）</w:t>
            </w:r>
            <w:r>
              <w:rPr>
                <w:rFonts w:ascii="仿宋_GB2312" w:hAnsi="仿宋_GB2312" w:cs="仿宋_GB2312" w:eastAsia="仿宋_GB2312"/>
                <w:sz w:val="21"/>
                <w:color w:val="241FFF"/>
              </w:rPr>
              <w:t>。</w:t>
            </w:r>
          </w:p>
          <w:p>
            <w:pPr>
              <w:pStyle w:val="null3"/>
            </w:pPr>
            <w:r>
              <w:rPr>
                <w:rFonts w:ascii="仿宋_GB2312" w:hAnsi="仿宋_GB2312" w:cs="仿宋_GB2312" w:eastAsia="仿宋_GB2312"/>
                <w:sz w:val="21"/>
                <w:color w:val="241FFF"/>
              </w:rPr>
              <w:t>11.</w:t>
            </w:r>
            <w:r>
              <w:rPr>
                <w:rFonts w:ascii="仿宋_GB2312" w:hAnsi="仿宋_GB2312" w:cs="仿宋_GB2312" w:eastAsia="仿宋_GB2312"/>
                <w:sz w:val="21"/>
                <w:b/>
                <w:color w:val="241FFF"/>
              </w:rPr>
              <w:t>付款方式：</w:t>
            </w:r>
            <w:r>
              <w:rPr>
                <w:rFonts w:ascii="仿宋_GB2312" w:hAnsi="仿宋_GB2312" w:cs="仿宋_GB2312" w:eastAsia="仿宋_GB2312"/>
                <w:sz w:val="21"/>
                <w:color w:val="241FFF"/>
              </w:rPr>
              <w:t>合同签订后支付暂定合同总金额（不含安全文明施工费）的</w:t>
            </w:r>
            <w:r>
              <w:rPr>
                <w:rFonts w:ascii="仿宋_GB2312" w:hAnsi="仿宋_GB2312" w:cs="仿宋_GB2312" w:eastAsia="仿宋_GB2312"/>
                <w:sz w:val="21"/>
                <w:color w:val="241FFF"/>
              </w:rPr>
              <w:t>40%预付款，主体完工后支付暂定合同总金额（不含安全文明施工费）的20%，竣工验收后支付暂定合同总金额（不含安全文明施工费）的25%，审计定案后支付至审定结算金额的97%，剩余的3%为质保金，质保期结束后无质量问题无息退还。安全文明施工费在开工前一次性足额支付。</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应提供会计师事务所出具的完整的2024年度审计报告（成立时间至提交磋商响应文件截止时间不足一年的可提供成立后任意时段的资产负债表），或提交磋商响应截止时间前6个月内银行出具的资信证明，或信用担保机构出具的担保函（以上三种形式的资料提供任何一种即可）；其他组织和自然人提供银行出具的资信证明或财务报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营业执照或其他证明资料</w:t>
            </w:r>
          </w:p>
        </w:tc>
        <w:tc>
          <w:tcPr>
            <w:tcW w:type="dxa" w:w="3322"/>
          </w:tcPr>
          <w:p>
            <w:pPr>
              <w:pStyle w:val="null3"/>
            </w:pPr>
            <w:r>
              <w:rPr>
                <w:rFonts w:ascii="仿宋_GB2312" w:hAnsi="仿宋_GB2312" w:cs="仿宋_GB2312" w:eastAsia="仿宋_GB2312"/>
              </w:rPr>
              <w:t>供应商应为具有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供应商须具备建设行政主管部门核发的【市政公用工程施工总承包三级】及以上资质，并具有有效的安全生产许可证；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拟派项目经理资质</w:t>
            </w:r>
          </w:p>
        </w:tc>
        <w:tc>
          <w:tcPr>
            <w:tcW w:type="dxa" w:w="3322"/>
          </w:tcPr>
          <w:p>
            <w:pPr>
              <w:pStyle w:val="null3"/>
            </w:pPr>
            <w:r>
              <w:rPr>
                <w:rFonts w:ascii="仿宋_GB2312" w:hAnsi="仿宋_GB2312" w:cs="仿宋_GB2312" w:eastAsia="仿宋_GB2312"/>
              </w:rPr>
              <w:t>供应商拟派项目经理须具备建设行政主管部门颁发的【注册建造师二级】及以上执业资格（市政公用工程专业），且具备有效的安全生产考核证（建安B证），在本单位注册执业资格且未担任其他在建工程项目的项目经理(提供无在建项目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供应商信誉要求</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本项目不接受联合体磋商（提供非联合体声明函）。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根据财政部《关于推动解决政府采购异常低价问题的通知》（财库〔2026〕2号）“政府采购评审中出现下列情形之一的，评审委员会应当启动异常低价投标（响应）审查程序”： 1.投标（响应）报价低于全部通过符合性审查供应商投标（响应）报价平均值50%的，即投标（响应）报价&lt;全部通过符合性审查供应商投标（响应）报价平均值×50%； 2.投标（响应）报价低于通过符合性审查的次低报价供应商投标（响应）报价50%的，即投标（响应）报价&lt;通过符合性审查的次低报价供应商投标（响应）报价×50%； 3.投标（响应）报价低于采购项目最高限价45%的，即投标（响应）报价&lt;采购项目最高限价×45%； 4.评审委员会基于专业判断，认为供应商报价过低，有可能影响产品质量或者不能诚信履约的其他情形。 评审委员会启动异常低价投标（响应）审查后，属于前述第1项至第4项情形的，应当要求相关供应商在评审现场合理的时间内对投标（响应）价格作出解释，提供项目具体成本测算等与报价合理性相关的书面说明及必要的证明材料，包括但不限于原材料成本、人工成本、制造费用等。相关供应商应于30分钟内按评标委员会要求提供相应证明材料。其中，属于第3项情形，供应商已随投标（响应）文件一并提交相关书面说明及必要的证明材料的，在评审现场可不再重复提交。评审委员会依据专业经验，参考同类项目中标（成交）价格、类似产品市场价格水平、行业人工费用标准、国家有关部门指导行业协会发布的行业平均成本等情况，对报价合理性进行判断。投标（响应）供应商不能提供书面说明、证明材料，或者提供的书面说明、证明材料不能证明其报价合理性的，评审委员会应当将其作为无效投标（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施工组织设计.docx 项目部经理.docx 响应文件封面 供应商应提交的相关资格证明材料.docx 供应商认为需要提供的其他资料.docx 残疾人福利性单位声明函 报价函 标的清单 供应商类似项目业绩一览表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明，且身份信息与营业执照上对应信息一致。法定代表人授权代表参加磋商的，须出具法定代表人授权委托书及授权代表身份证复印件；自然人参加磋商的须提供身份证复印件； 注：以磋商响应文件中所附签章齐全的法定代表人身份证明或法定代表人授权委托书为准。</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计划工期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技术服务合同条款及其他商务要求应答表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标的清单 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技术服务合同条款及其他商务要求应答表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供应商认为需要提供的其他资料.docx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磋商总报价</w:t>
            </w:r>
          </w:p>
        </w:tc>
        <w:tc>
          <w:tcPr>
            <w:tcW w:type="dxa" w:w="3322"/>
          </w:tcPr>
          <w:p>
            <w:pPr>
              <w:pStyle w:val="null3"/>
            </w:pPr>
            <w:r>
              <w:rPr>
                <w:rFonts w:ascii="仿宋_GB2312" w:hAnsi="仿宋_GB2312" w:cs="仿宋_GB2312" w:eastAsia="仿宋_GB2312"/>
              </w:rPr>
              <w:t>每轮总报价唯一且未超过本项目最高限价</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施工组织部署及施工总平面布置</w:t>
            </w:r>
          </w:p>
        </w:tc>
        <w:tc>
          <w:tcPr>
            <w:tcW w:type="dxa" w:w="2492"/>
          </w:tcPr>
          <w:p>
            <w:pPr>
              <w:pStyle w:val="null3"/>
            </w:pPr>
            <w:r>
              <w:rPr>
                <w:rFonts w:ascii="仿宋_GB2312" w:hAnsi="仿宋_GB2312" w:cs="仿宋_GB2312" w:eastAsia="仿宋_GB2312"/>
              </w:rPr>
              <w:t>1.施工组织部署详尽阐述，施工总平面布置明确具体且针对性充足的，得4分； 2.施工组织部署及施工总平面布置明确，且具有一定针对性的，得3分； 3.施工组织部署及施工总平面布置含糊，但具有一定针对性的，得2分； 4.施工组织部署及施工总平面布置含糊，内容空洞且不具有针对性的，得1分；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施工技术措施</w:t>
            </w:r>
          </w:p>
        </w:tc>
        <w:tc>
          <w:tcPr>
            <w:tcW w:type="dxa" w:w="2492"/>
          </w:tcPr>
          <w:p>
            <w:pPr>
              <w:pStyle w:val="null3"/>
            </w:pPr>
            <w:r>
              <w:rPr>
                <w:rFonts w:ascii="仿宋_GB2312" w:hAnsi="仿宋_GB2312" w:cs="仿宋_GB2312" w:eastAsia="仿宋_GB2312"/>
              </w:rPr>
              <w:t>1.施工技术措施详细具体合理，衔接紧密且具有针对性，得9分； 2.施工技术措施详细具体且具有一定合理性，各阶段工作衔接基本紧密且具有一定针对性，得7分； 3.施工技术措施明确，各阶段工作有一定衔接性及针对性，得5分； 4.施工技术措施基本明确，各阶段工作衔接性及方案针对性不足，得3分； 5.施工技术措施含糊，各阶段工作无衔接无针对性，得1分；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确保施工进度的技术组织措施</w:t>
            </w:r>
          </w:p>
        </w:tc>
        <w:tc>
          <w:tcPr>
            <w:tcW w:type="dxa" w:w="2492"/>
          </w:tcPr>
          <w:p>
            <w:pPr>
              <w:pStyle w:val="null3"/>
            </w:pPr>
            <w:r>
              <w:rPr>
                <w:rFonts w:ascii="仿宋_GB2312" w:hAnsi="仿宋_GB2312" w:cs="仿宋_GB2312" w:eastAsia="仿宋_GB2312"/>
              </w:rPr>
              <w:t>1.施工进度计划详细具体，合理可行，施工进度表或施工网络图绘制规范、得当，有确保工期的技术组织措施且措施合理得当的，得7分； 2.施工进度计划明确且基本合理，有施工进度表或施工网络图，有确保工期的技术组织措施且措施内容基本合理的，得5分； 3.施工进度计划明确且基本合理，有施工进度表或施工网络图，确保工期的技术组织措施内容不全或不合理，且未贴合实际的，得3分。 4.施工进度计划含糊且合理性不足，无施工进度表或施工网络图，确保工期的技术组织措施内容不全或不合理，且未贴合实际的，得1分。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1.工程质量技术管理机构和制度完善，具有健全的质量管理体系，主要工序有完善合理的质量技术保证措施的，得7分； 2.工程质量技术管理机构和制度较完善，具有健全的质量管理体系，主要工序有较完善合理的质量技术保证措施的，得5分； 3.工程质量技术管理机构和制度明确，无质量管理体系，主要工序有较完善的质量技术保证措施的，得3分； 4.工程质量技术管理机构和制度含糊，无质量管理体系，主要工序无质量技术保证措施含糊或有实质性缺陷，得1分。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1.针对本项目安全生产的技术的组织措施详细具体切实可行的，得7分； 2.针对本项目安全生产的技术的组织措施明确且具有可行性，得5分； 3.针对本项目安全生产的技术的组织措施明确但可行性不足，得3分。 4.针对本项目安全生产的技术的组织措施粗略且可行性不足，得1分。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1.文明施工计划全面，文明施工组织措施合理可行的，得7分； 2.文明施工计划较全面，文明施工组织措施基本合理的，得5分； 3.文明施工计划较全面，文明施工组织措施不合理的，得3分。 4.文明施工计划不全面，文明施工组织措施不合理的，得1分。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确保施工环境保护措施</w:t>
            </w:r>
          </w:p>
        </w:tc>
        <w:tc>
          <w:tcPr>
            <w:tcW w:type="dxa" w:w="2492"/>
          </w:tcPr>
          <w:p>
            <w:pPr>
              <w:pStyle w:val="null3"/>
            </w:pPr>
            <w:r>
              <w:rPr>
                <w:rFonts w:ascii="仿宋_GB2312" w:hAnsi="仿宋_GB2312" w:cs="仿宋_GB2312" w:eastAsia="仿宋_GB2312"/>
              </w:rPr>
              <w:t>1.环境卫生管理制度及管理职责详细具体，施工环境保护措施（包括但不限于施工现场环保扬尘预防措施和垃圾清运保证措施）完善的，得7分； 2.环境卫生管理制度及管理职责明确；施工环境保护措施较完善的，得5分； 3.环境卫生管理制度及管理职责较明确，施工环境保护措施不完善，得3分。 4.环境卫生管理制度及管理职责含糊，施工环境保护措施不完善，得1分。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施工机械配备投入计划</w:t>
            </w:r>
          </w:p>
        </w:tc>
        <w:tc>
          <w:tcPr>
            <w:tcW w:type="dxa" w:w="2492"/>
          </w:tcPr>
          <w:p>
            <w:pPr>
              <w:pStyle w:val="null3"/>
            </w:pPr>
            <w:r>
              <w:rPr>
                <w:rFonts w:ascii="仿宋_GB2312" w:hAnsi="仿宋_GB2312" w:cs="仿宋_GB2312" w:eastAsia="仿宋_GB2312"/>
              </w:rPr>
              <w:t>1.施工机械配备投入计划详细全面、完善合理，得5分； 2.施工机械配备投入计划较为全面，基本合理，得4分； 3.施工机械配备投入计划明确，基本合理的，得3分； 4.施工机械配备投入计划基本明确，合理性不足，得2分； 5.施工机械配备投入计划粗略，合理性不足，无法满足项目需求，得1分。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1.项目经理具有市政工程类相关专业中级及以上职称证书者得3分，否则本分项不得分； 2.项目经理年龄在 30岁（含）至 60岁（含）之间者得2分，否则本分项不得分；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项目部经理.docx</w:t>
            </w:r>
          </w:p>
        </w:tc>
      </w:tr>
      <w:tr>
        <w:tc>
          <w:tcPr>
            <w:tcW w:type="dxa" w:w="831"/>
            <w:vMerge/>
          </w:tcPr>
          <w:p/>
        </w:tc>
        <w:tc>
          <w:tcPr>
            <w:tcW w:type="dxa" w:w="1661"/>
          </w:tcPr>
          <w:p>
            <w:pPr>
              <w:pStyle w:val="null3"/>
            </w:pPr>
            <w:r>
              <w:rPr>
                <w:rFonts w:ascii="仿宋_GB2312" w:hAnsi="仿宋_GB2312" w:cs="仿宋_GB2312" w:eastAsia="仿宋_GB2312"/>
              </w:rPr>
              <w:t>项目经理部组成</w:t>
            </w:r>
          </w:p>
        </w:tc>
        <w:tc>
          <w:tcPr>
            <w:tcW w:type="dxa" w:w="2492"/>
          </w:tcPr>
          <w:p>
            <w:pPr>
              <w:pStyle w:val="null3"/>
            </w:pPr>
            <w:r>
              <w:rPr>
                <w:rFonts w:ascii="仿宋_GB2312" w:hAnsi="仿宋_GB2312" w:cs="仿宋_GB2312" w:eastAsia="仿宋_GB2312"/>
              </w:rPr>
              <w:t>1.人员配备充足、安排合理、分工明确，得7分； 2.人员配备较充足、安排较合理、分工较明确，得5分； 3.人员配备基本充足、安排较基本合理、分工基本明确，得3分； 4.人员配备欠缺、安排不够合理、分工不够明确，得1分；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项目部经理.docx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供应商提供2023年1月至今完成的类似业绩证明，每提供一份得2.5分，最高得5分； 注：以响应文件中所附的合同协议书复印件为准，时间以合同签订时间为准。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1.评审范围：有效的磋商响应总报价（指经初审合格的供应商的磋商最终响应总报价）。 2.满足竞争性磋商文件要求且最终响应总报价价格最低的价格为磋商基准价，其价格分为满分。其他供应商的价格分统一按照下列公式计算： 磋商报价得分=（磋商基准价/最终响应总报价）×分值。 3.对需要落实政府采购政策的供应商详见“第二章 供应商须知 2.1供应商须知前附表 第6条。4.评分分值计算保留小数点后两位，小数点后第三位“四舍五入”。</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3.00%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详见附件：供应商认为需要提供的其他资料.docx</w:t>
      </w:r>
    </w:p>
    <w:p>
      <w:pPr>
        <w:pStyle w:val="null3"/>
        <w:ind w:firstLine="960"/>
      </w:pPr>
      <w:r>
        <w:rPr>
          <w:rFonts w:ascii="仿宋_GB2312" w:hAnsi="仿宋_GB2312" w:cs="仿宋_GB2312" w:eastAsia="仿宋_GB2312"/>
        </w:rPr>
        <w:t>详见附件：项目部经理.docx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