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版本号：ZJXHZ-ZBDL-2025-05920260109001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勉县云雾山景区详细规划编制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ZJXHZ-ZBDL-2025-059</w:t>
      </w:r>
      <w:r>
        <w:br/>
      </w:r>
      <w:r>
        <w:br/>
      </w:r>
      <w:r>
        <w:br/>
      </w:r>
    </w:p>
    <w:p>
      <w:pPr>
        <w:pStyle w:val="null3"/>
        <w:jc w:val="center"/>
        <w:outlineLvl w:val="2"/>
      </w:pPr>
      <w:r>
        <w:rPr>
          <w:rFonts w:ascii="仿宋_GB2312" w:hAnsi="仿宋_GB2312" w:cs="仿宋_GB2312" w:eastAsia="仿宋_GB2312"/>
          <w:sz w:val="28"/>
          <w:b/>
        </w:rPr>
        <w:t>勉县林业局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勉县林业局</w:t>
      </w:r>
      <w:r>
        <w:rPr>
          <w:rFonts w:ascii="仿宋_GB2312" w:hAnsi="仿宋_GB2312" w:cs="仿宋_GB2312" w:eastAsia="仿宋_GB2312"/>
        </w:rPr>
        <w:t>委托，拟对</w:t>
      </w:r>
      <w:r>
        <w:rPr>
          <w:rFonts w:ascii="仿宋_GB2312" w:hAnsi="仿宋_GB2312" w:cs="仿宋_GB2312" w:eastAsia="仿宋_GB2312"/>
        </w:rPr>
        <w:t>勉县云雾山景区详细规划编制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勉县云雾山景区详细规划编制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依据《陕西省自然资源厅 关于加快推进国土空间详细规划工作的通知》等政策文件要求，通过完成勉县云雾山景区景前区详细规划编制工作，支撑云雾山景区开发建设，提升景区服务水平，支撑勉县优质低效旅游资源盘活。 按照《陕西省城镇开发边界内详细规划编制指南》等文件要求，编制勉县云雾山景区景前区详细规划，组织专家审查并通过县政府批复。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采购包1（勉县云雾山景区详细规划编制）：属于专门面向中小企业采购。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具有独立承担民事责任能力的法人、其他组织或自然人，并出具合法有效的营业执照等国家规定的相关证明，自然人参与的提供其身份证明；：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直接参加投标只须提供法定代表人身份证明原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具备城乡规划(国土空间规划)编制资质证书（乙级）：供应商须具有行政主管部门颁发且有效的城乡规划(国土空间规划)编制资质证书乙级及以上资质，并在人员设备、资金等方面具备相应的实施能力；拟派项目负责人须具备行政主管部门核发的城乡规划相关专业的国家注册工程师资格，并且必须是本单位的在职注册人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13909163839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汉中市汉台区西环路北段天汉龙城写字楼5楼（中佳信建设管理集团有限公司）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开户银行：工商银行汉中劳动西路支行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勉县林业局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完成勉县云雾山景区景前区详细规划编制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依据《陕西省自然资源厅 关于加快推进国土空间详细规划工作的通知》等政策文件要求，通过完成勉县云雾山景区景前区详细规划编制工作，支撑云雾山景区开发建设，提升景区服务水平，支撑勉县优质低效旅游资源盘活。 按照《陕西省城镇开发边界内详细规划编制指南》等文件要求，编制勉县云雾山景区景前区详细规划，组织专家审查并通过县政府批复。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勉县云雾山景区详细规划编制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标的名称：勉县云雾山景区详细规划编制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按照设计要求，通过实施</w:t>
            </w:r>
            <w:r>
              <w:rPr>
                <w:rFonts w:ascii="仿宋_GB2312" w:hAnsi="仿宋_GB2312" w:cs="仿宋_GB2312" w:eastAsia="仿宋_GB2312"/>
                <w:sz w:val="21"/>
              </w:rPr>
              <w:t>勉县云雾山景区景前区详细规划编制，</w:t>
            </w:r>
            <w:r>
              <w:rPr>
                <w:rFonts w:ascii="仿宋_GB2312" w:hAnsi="仿宋_GB2312" w:cs="仿宋_GB2312" w:eastAsia="仿宋_GB2312"/>
                <w:sz w:val="21"/>
              </w:rPr>
              <w:t>按照《陕西省城镇开发边界内详细规划编制指南》要求，编制勉县云雾山景区景前区详细规划，协助采购人通过组织专家审查并取得县政府相关批复文件。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项目经由县级相关部门验收通过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合同签订后，支付部分合同金额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完成勉县云雾山景区景前区详细规划编制之后，经由专家评审会审查通过后，支付部分合同金额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项目经由县政府批复并有采购人验收通过后，支付剩余合同金额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供应商资格承诺函.pdf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具备城乡规划(国土空间规划)编制资质证书（乙级）</w:t>
            </w:r>
          </w:p>
        </w:tc>
        <w:tc>
          <w:tcPr>
            <w:tcW w:type="dxa" w:w="3322"/>
          </w:tcPr>
          <w:p>
            <w:pPr>
              <w:pStyle w:val="null3"/>
            </w:pPr>
            <w:r>
              <w:rPr>
                <w:rFonts w:ascii="仿宋_GB2312" w:hAnsi="仿宋_GB2312" w:cs="仿宋_GB2312" w:eastAsia="仿宋_GB2312"/>
              </w:rPr>
              <w:t>供应商须具有行政主管部门颁发且有效的城乡规划(国土空间规划)编制资质证书乙级及以上资质，并在人员设备、资金等方面具备相应的实施能力；拟派项目负责人须具备行政主管部门核发的城乡规划相关专业的国家注册工程师资格，并且必须是本单位的在职注册人员。</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技术方案.pdf 服务内容及服务邀请应答表 中小企业声明函 商务应答表 服务质量保证措施.pdf 供应商应提交的相关资格证明材料 报价表 技术标准.pdf 响应文件封面 应急预案和处置措施.pdf 类似业绩.pdf 总体服务方案.pdf 进度计划.pdf 残疾人福利性单位声明函 服务承诺.pdf 服务方案 标的清单 供应商资格承诺函.pdf 响应函 资格证明文件.pdf 项目团队.pdf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投标人针对本项目提供总体服务方案，内容包含①服务目标；②服务理念；③重难点分析及解决措施；④项目进驻及筹备程序。 二、赋分标准 1、完整性：方案内容完整全面，对上述各项内容均有描述及说明，得4分；缺1项，得3分；缺2项，得2分；缺3项，得1分。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总体服务方案.pdf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投标人针对本项目实际特点，提供项目技术方案，包括但不限于：①项目背景和现状分析；②空间布局规划；③综合防灾规划；④公共服务设施规划等内容。 二、赋分标准： 1、完整性：方案内容完整全面，对上述各项内容均有描述及说明，得4分；缺1项，得3分；缺2项，得2分；缺3项，得1分；缺4项，得0分。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一、评审内容 投标人针对本项目实际特点，合理应用技术标准，项目实施应科学、全面，主要包括针对本项目制定完善的①质量管理体系；②环境保护管理体系；③安全管理体系与措施。 二、赋分标准 1、完整性：方案内容完整全面，对上述各项内容均有描述及说明，得3分；缺1项，得2分；缺2项，得1分；缺3项，得0分。 2、针对性：针对性强，得3分；针对性一般，得2分；缺乏针对性，得1分。 3、可实施性：可实施性强，得3分；可实施性一般，得2分；缺乏可实施性，得1分。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技术标准.pdf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投标人针对本项目实际特点，①合理安排进度时间安排满足项目需要，②有详细的进度计划表或示意图，③应提供项目进度方案，包括保证工期的方法、措施等。 二、赋分标准 1、完整性：方案内容完整全面，对上述各项内容均有描述及说明，得3分；缺1项，得2分；缺2项，得1分；缺3项，得0分。 2、针对性：针对性强，得3分；针对性一般，得2分；缺乏针对性，得1分。 3、可实施性：可实施性强，得3分；可实施性一般，得2分；缺乏可实施性，得1分。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进度计划.pdf</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投标人针对本项目实际特点，①具备稳定的售后服务机构，设立专门的技术服务团队，并提供了人员名单，②团队人员专业性强或具备类似项目经验，且配备合理，③职责分工明确，④专业性强人员素质高，服务优良。 二、赋分标准 1、完整性：方案内容完整全面，对上述各项内容均有描述及说明，得4分；缺1项，得3分；缺2项，得2分；缺3项，得1分；缺4项，得0分。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投标人针对本项目实际特点，①提供详尽的服务组织实施方案；②服务机构健全，提供服务标准公约； ③配备专职服务人员，项目组人员提供的各项服务承诺情况。 二、赋分标准 1、完整性：方案内容完整全面，对上述各项内容均有描述及说明，得3分；缺1项，得2分；缺2项，得1分；缺3项，得0分。 2、针对性：针对性强，得3分；针对性一般，得2分；缺乏针对性，得0分。 3、可实施性：可实施性强，得3分；可实施性一般，得2分；缺乏可实施性，得0分。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服务承诺.pdf</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一、评审内容 投标人针对本项目实际特点，①制定的各类特殊情况下的应急预案；②制定的各类特殊情况下的处置措施方案。 二、赋分标准 1、完整性：方案内容完整全面，对上述各项内容均有描述及说明，得2分；缺1项，得1分；缺2项，得0分。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应急预案和处置措施.pdf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投标人针对本项目实际特点，①服务质量保证措施；②服务质量承诺。 二、赋分标准 1、完整性：方案内容完整全面，对上述各项内容均有描述及说明，得2分；缺1项，得1分；缺2项，得0分。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供应商提供2022年1月1日至今（以合同或中标通知书时间为准）的同类项目业绩，每提供一个业绩得1分，最多得5分。（提供合同或中标通知书复印件）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详见附件：供应商资格承诺函.pdf</w:t>
      </w:r>
    </w:p>
    <w:p>
      <w:pPr>
        <w:pStyle w:val="null3"/>
        <w:ind w:firstLine="960"/>
      </w:pPr>
      <w:r>
        <w:rPr>
          <w:rFonts w:ascii="仿宋_GB2312" w:hAnsi="仿宋_GB2312" w:cs="仿宋_GB2312" w:eastAsia="仿宋_GB2312"/>
        </w:rPr>
        <w:t>详见附件：总体服务方案.pdf</w:t>
      </w:r>
    </w:p>
    <w:p>
      <w:pPr>
        <w:pStyle w:val="null3"/>
        <w:ind w:firstLine="960"/>
      </w:pPr>
      <w:r>
        <w:rPr>
          <w:rFonts w:ascii="仿宋_GB2312" w:hAnsi="仿宋_GB2312" w:cs="仿宋_GB2312" w:eastAsia="仿宋_GB2312"/>
        </w:rPr>
        <w:t>详见附件：技术标准.pdf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详见附件：进度计划.pdf</w:t>
      </w:r>
    </w:p>
    <w:p>
      <w:pPr>
        <w:pStyle w:val="null3"/>
        <w:ind w:firstLine="960"/>
      </w:pPr>
      <w:r>
        <w:rPr>
          <w:rFonts w:ascii="仿宋_GB2312" w:hAnsi="仿宋_GB2312" w:cs="仿宋_GB2312" w:eastAsia="仿宋_GB2312"/>
        </w:rPr>
        <w:t>详见附件：项目团队.pdf</w:t>
      </w:r>
    </w:p>
    <w:p>
      <w:pPr>
        <w:pStyle w:val="null3"/>
        <w:ind w:firstLine="960"/>
      </w:pPr>
      <w:r>
        <w:rPr>
          <w:rFonts w:ascii="仿宋_GB2312" w:hAnsi="仿宋_GB2312" w:cs="仿宋_GB2312" w:eastAsia="仿宋_GB2312"/>
        </w:rPr>
        <w:t>详见附件：服务承诺.pdf</w:t>
      </w:r>
    </w:p>
    <w:p>
      <w:pPr>
        <w:pStyle w:val="null3"/>
        <w:ind w:firstLine="960"/>
      </w:pPr>
      <w:r>
        <w:rPr>
          <w:rFonts w:ascii="仿宋_GB2312" w:hAnsi="仿宋_GB2312" w:cs="仿宋_GB2312" w:eastAsia="仿宋_GB2312"/>
        </w:rPr>
        <w:t>详见附件：应急预案和处置措施.pdf</w:t>
      </w:r>
    </w:p>
    <w:p>
      <w:pPr>
        <w:pStyle w:val="null3"/>
        <w:ind w:firstLine="960"/>
      </w:pPr>
      <w:r>
        <w:rPr>
          <w:rFonts w:ascii="仿宋_GB2312" w:hAnsi="仿宋_GB2312" w:cs="仿宋_GB2312" w:eastAsia="仿宋_GB2312"/>
        </w:rPr>
        <w:t>详见附件：服务质量保证措施.pdf</w:t>
      </w:r>
    </w:p>
    <w:p>
      <w:pPr>
        <w:pStyle w:val="null3"/>
        <w:ind w:firstLine="960"/>
      </w:pPr>
      <w:r>
        <w:rPr>
          <w:rFonts w:ascii="仿宋_GB2312" w:hAnsi="仿宋_GB2312" w:cs="仿宋_GB2312" w:eastAsia="仿宋_GB2312"/>
        </w:rPr>
        <w:t>详见附件：类似业绩.pdf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