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F5774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以工代赈实施承诺函</w:t>
      </w:r>
    </w:p>
    <w:p w14:paraId="1D4F80DC">
      <w:pPr>
        <w:jc w:val="center"/>
        <w:rPr>
          <w:rFonts w:hint="eastAsia" w:ascii="宋体" w:hAnsi="宋体" w:eastAsia="宋体" w:cs="宋体"/>
          <w:lang w:val="en-US" w:eastAsia="zh-CN"/>
        </w:rPr>
      </w:pPr>
    </w:p>
    <w:p w14:paraId="0C38818C">
      <w:pPr>
        <w:jc w:val="both"/>
        <w:rPr>
          <w:rFonts w:hint="eastAsia" w:ascii="宋体" w:hAnsi="宋体" w:eastAsia="宋体" w:cs="宋体"/>
          <w:lang w:val="en-US" w:eastAsia="zh-CN"/>
        </w:rPr>
      </w:pPr>
    </w:p>
    <w:p w14:paraId="5DE41E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致：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（采购人名称）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：</w:t>
      </w:r>
    </w:p>
    <w:p w14:paraId="4794C5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我单位承诺在参加本次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采购时（项目编号：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），若我方为成交单位，自愿按以工代赈项目的相关政策要求，做到以下几点：</w:t>
      </w:r>
    </w:p>
    <w:p w14:paraId="5BA86C2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严格按照《国家以工代赈管理办法》（中华人民共和国国家发展和改革委员会令第57 号）、汉中市发改委《关于印发汉中市“十四五”以工代赈实施方案的通知》（汉发改代赈[2021]731号）、《关于规范以工代赈项目组织实施的通知》（汉发改代赈[2022]99号）等关于以工代赈建设管理规定组织实施。按照“赈”的作用发挥相关要求在工程实施过程中积极运用“农村公益性基础设施建设+劳务报酬发放+就业技能培训+公益性岗位设置”赈济模式，保证工程质量的前提下，能用人工尽量不用机械、能用当地群众尽量不用专业施工队伍。</w:t>
      </w:r>
    </w:p>
    <w:p w14:paraId="0098D2C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吸纳勉县镇川镇为主的群众不少于81人（包括返乡农民工，脱贫人口，防返贫监测对象）参与工程项目建设，向勉县镇川镇为主的群众发放劳务报酬不低于134万元，占中央预算内资金比例42%，供应商需出具以工代赈实施承诺函。</w:t>
      </w:r>
    </w:p>
    <w:p w14:paraId="2E088A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、在与采购人签订合同时，须落实以工代赈政策要求作为合同约定条款。在“双方权力与义务”章节或补充协议中，须明确约定：“乙方应吸纳勉县镇川镇为主的群众不少于81人（包括返乡农民工，脱贫人口，防返贫监测对象）参与工程项目建设，向勉县镇川镇为主的群众发放劳务报酬不低于134万元，占中央预算内资金比例42%”。在“违约与赔偿”章节或补充协议中，须明确约定：若乙方未履行或履行合同义务不符合“乙方应吸纳勉县镇川镇为主的群众不少于81人（包括返乡农民工，脱贫人口，防返贫监测对象）参与工程项目建设，向勉县镇川镇为主的群众发放劳务报酬不低于134万元，占中央预算内资金比例42%”约定的，应承担违约责任,违约责任包括继续履行、采取补救措施或者赔偿损失等。</w:t>
      </w:r>
    </w:p>
    <w:p w14:paraId="362ECC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特此承诺！</w:t>
      </w:r>
    </w:p>
    <w:p w14:paraId="1033C146"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</w:p>
    <w:p w14:paraId="319C42C5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承诺人：      （供应商名称、公章）</w:t>
      </w:r>
    </w:p>
    <w:p w14:paraId="0842729D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法定代表人：      （签名或盖章）</w:t>
      </w:r>
    </w:p>
    <w:p w14:paraId="5CBFC1FC">
      <w:pPr>
        <w:keepNext w:val="0"/>
        <w:keepLines w:val="0"/>
        <w:widowControl/>
        <w:suppressLineNumbers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典雅体简">
    <w:panose1 w:val="00020600040101010101"/>
    <w:charset w:val="86"/>
    <w:family w:val="roman"/>
    <w:pitch w:val="default"/>
    <w:sig w:usb0="A00002BF" w:usb1="18EF7CFA" w:usb2="00000016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F4D38"/>
    <w:multiLevelType w:val="singleLevel"/>
    <w:tmpl w:val="056F4D3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B29D6"/>
    <w:rsid w:val="216F1AB6"/>
    <w:rsid w:val="37AE22C4"/>
    <w:rsid w:val="3BE64C6B"/>
    <w:rsid w:val="4BCD25C4"/>
    <w:rsid w:val="50C4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609</Words>
  <Characters>639</Characters>
  <Lines>0</Lines>
  <Paragraphs>0</Paragraphs>
  <TotalTime>1</TotalTime>
  <ScaleCrop>false</ScaleCrop>
  <LinksUpToDate>false</LinksUpToDate>
  <CharactersWithSpaces>687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2025-10-23T09:44:00Z</dcterms:created>
  <dc:creator>LENOVO</dc:creator>
  <cp:lastModifiedBy>范小沛</cp:lastModifiedBy>
  <dcterms:modified xsi:type="dcterms:W3CDTF">2026-02-08T10:00:38Z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525588AB3D4A4D01BA0AEFAED87D5298_12</vt:lpwstr>
  </property>
</Properties>
</file>