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版本号：2026-XT-CG-00620260312001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勉县新铺镇2026年以工代赈中央预算内投资项目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2026-XT-CG-006</w:t>
      </w:r>
      <w:r>
        <w:br/>
      </w:r>
      <w:r>
        <w:br/>
      </w:r>
      <w:r>
        <w:br/>
      </w:r>
    </w:p>
    <w:p>
      <w:pPr>
        <w:pStyle w:val="null3"/>
        <w:jc w:val="center"/>
        <w:outlineLvl w:val="2"/>
      </w:pPr>
      <w:r>
        <w:rPr>
          <w:rFonts w:ascii="仿宋_GB2312" w:hAnsi="仿宋_GB2312" w:cs="仿宋_GB2312" w:eastAsia="仿宋_GB2312"/>
          <w:sz w:val="28"/>
          <w:b/>
        </w:rPr>
        <w:t>勉县新铺镇人民政府</w:t>
      </w:r>
    </w:p>
    <w:p>
      <w:pPr>
        <w:pStyle w:val="null3"/>
        <w:jc w:val="center"/>
        <w:outlineLvl w:val="2"/>
      </w:pPr>
      <w:r>
        <w:rPr>
          <w:rFonts w:ascii="仿宋_GB2312" w:hAnsi="仿宋_GB2312" w:cs="仿宋_GB2312" w:eastAsia="仿宋_GB2312"/>
          <w:sz w:val="28"/>
          <w:b/>
        </w:rPr>
        <w:t>陕西兴通监理咨询有限公司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陕西兴通监理咨询有限公司</w:t>
      </w:r>
      <w:r>
        <w:rPr>
          <w:rFonts w:ascii="仿宋_GB2312" w:hAnsi="仿宋_GB2312" w:cs="仿宋_GB2312" w:eastAsia="仿宋_GB2312"/>
        </w:rPr>
        <w:t>（以下简称“代理机构”）受</w:t>
      </w:r>
      <w:r>
        <w:rPr>
          <w:rFonts w:ascii="仿宋_GB2312" w:hAnsi="仿宋_GB2312" w:cs="仿宋_GB2312" w:eastAsia="仿宋_GB2312"/>
        </w:rPr>
        <w:t>勉县新铺镇人民政府</w:t>
      </w:r>
      <w:r>
        <w:rPr>
          <w:rFonts w:ascii="仿宋_GB2312" w:hAnsi="仿宋_GB2312" w:cs="仿宋_GB2312" w:eastAsia="仿宋_GB2312"/>
        </w:rPr>
        <w:t>委托，拟对</w:t>
      </w:r>
      <w:r>
        <w:rPr>
          <w:rFonts w:ascii="仿宋_GB2312" w:hAnsi="仿宋_GB2312" w:cs="仿宋_GB2312" w:eastAsia="仿宋_GB2312"/>
        </w:rPr>
        <w:t>勉县新铺镇2026年以工代赈中央预算内投资项目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2026-XT-CG-006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勉县新铺镇2026年以工代赈中央预算内投资项目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新建道路2条共4Km，路面采用18cm厚水泥混凝土面板，C25水泥混凝浅蝶形排水沟3.8Km，M7.5浆砌片石挡墙1145m³，钢筋混凝土圆管涵22道、132m，C级波形护栏1080m等，具体内容详见工程量清单。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采购包1（勉县新铺镇2026年以工代赈中央预算内投资项目）：属于专门面向中小企业采购。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1、特定资格要求1：具有独立承担民事责任能力的法人、其他组织或自然人，并出具合法有效的营业执照或事业单位法人证书等国家规定的相关证明，自然人参与的提供其身份证明；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特定资格要求2：供应商应授权合法的人员参与磋商，其中法定代表人直接参加磋商的，须出具法定代表人身份证明，并与营业执照上信息一致。法定代表人授权代表参与磋商的，须出具法定代表人授权书、授权代表身份证；</w:t>
      </w:r>
    </w:p>
    <w:p>
      <w:pPr>
        <w:pStyle w:val="null3"/>
      </w:pPr>
      <w:r>
        <w:rPr>
          <w:rFonts w:ascii="仿宋_GB2312" w:hAnsi="仿宋_GB2312" w:cs="仿宋_GB2312" w:eastAsia="仿宋_GB2312"/>
        </w:rPr>
        <w:t>3、特定资格要求3：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w:t>
      </w:r>
    </w:p>
    <w:p>
      <w:pPr>
        <w:pStyle w:val="null3"/>
      </w:pPr>
      <w:r>
        <w:rPr>
          <w:rFonts w:ascii="仿宋_GB2312" w:hAnsi="仿宋_GB2312" w:cs="仿宋_GB2312" w:eastAsia="仿宋_GB2312"/>
        </w:rPr>
        <w:t>4、特定资格要求4：供应商须具备建设行政主管部门核发的公路工程施工总承包三级及以上资质，并具备有效的安全生产许可证；拟派项目经理须具备公路工程专业二级及以上注册建造师执业资格和有效的安全生产考核合格证书（交安B证），且在本单位注册、无在建工程，提供相关证书及项目经理无在建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勉县新铺镇人民政府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陕西省汉中市勉县新铺镇新铺湾村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724213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勉县新铺镇人民政府经办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0916-3517203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陕西兴通监理咨询有限公司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陕西省西安市雁塔区吉祥路179号9楼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陕西兴通监理咨询有限公司</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19829465508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采购包1：3,595,575.16元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开户名称：陕西兴通监理咨询有限公司</w:t>
            </w:r>
          </w:p>
          <w:p>
            <w:pPr>
              <w:pStyle w:val="null3"/>
            </w:pPr>
            <w:r>
              <w:rPr>
                <w:rFonts w:ascii="仿宋_GB2312" w:hAnsi="仿宋_GB2312" w:cs="仿宋_GB2312" w:eastAsia="仿宋_GB2312"/>
              </w:rPr>
              <w:t>开户银行：中国银行西安太白小区支行</w:t>
            </w:r>
          </w:p>
          <w:p>
            <w:pPr>
              <w:pStyle w:val="null3"/>
            </w:pPr>
            <w:r>
              <w:rPr>
                <w:rFonts w:ascii="仿宋_GB2312" w:hAnsi="仿宋_GB2312" w:cs="仿宋_GB2312" w:eastAsia="仿宋_GB2312"/>
              </w:rPr>
              <w:t>银行账号：102410169037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代理服务费收费标准：参照《招标代理服务收费管理暂行办法》的通知（计价格[2002]1980号）和《关于招标代理服务收费有关问题的通知》（发改办价格[2003]857号）文件有关规定的标准计取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勉县新铺镇人民政府</w:t>
      </w:r>
      <w:r>
        <w:rPr>
          <w:rFonts w:ascii="仿宋_GB2312" w:hAnsi="仿宋_GB2312" w:cs="仿宋_GB2312" w:eastAsia="仿宋_GB2312"/>
        </w:rPr>
        <w:t>和</w:t>
      </w:r>
      <w:r>
        <w:rPr>
          <w:rFonts w:ascii="仿宋_GB2312" w:hAnsi="仿宋_GB2312" w:cs="仿宋_GB2312" w:eastAsia="仿宋_GB2312"/>
        </w:rPr>
        <w:t>陕西兴通监理咨询有限公司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勉县新铺镇人民政府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陕西兴通监理咨询有限公司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勉县新铺镇人民政府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陕西兴通监理咨询有限公司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参照合同约定与强制性规范执行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陕西兴通监理咨询有限公司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陕西兴通监理咨询有限公司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陕西兴通监理咨询有限公司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联系人：陕西兴通监理咨询有限公司</w:t>
      </w:r>
    </w:p>
    <w:p>
      <w:pPr>
        <w:pStyle w:val="null3"/>
      </w:pPr>
      <w:r>
        <w:rPr>
          <w:rFonts w:ascii="仿宋_GB2312" w:hAnsi="仿宋_GB2312" w:cs="仿宋_GB2312" w:eastAsia="仿宋_GB2312"/>
        </w:rPr>
        <w:t>联系电话：19829465508</w:t>
      </w:r>
    </w:p>
    <w:p>
      <w:pPr>
        <w:pStyle w:val="null3"/>
      </w:pPr>
      <w:r>
        <w:rPr>
          <w:rFonts w:ascii="仿宋_GB2312" w:hAnsi="仿宋_GB2312" w:cs="仿宋_GB2312" w:eastAsia="仿宋_GB2312"/>
        </w:rPr>
        <w:t>地址：陕西省西安市雁塔区吉祥路179号9楼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3,595,575.16</w:t>
      </w:r>
    </w:p>
    <w:p>
      <w:pPr>
        <w:pStyle w:val="null3"/>
      </w:pPr>
      <w:r>
        <w:rPr>
          <w:rFonts w:ascii="仿宋_GB2312" w:hAnsi="仿宋_GB2312" w:cs="仿宋_GB2312" w:eastAsia="仿宋_GB2312"/>
        </w:rPr>
        <w:t>采购包最高限价（元）: 3,595,575.16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勉县新铺镇2026年以工代赈中央预算内投资项目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3,595,575.16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标的名称：勉县新铺镇2026年以工代赈中央预算内投资项目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建设地址：勉县新铺镇穆家院村、菜坝沟村；建设里程：4.0KM；技术标准：四级公路（II）类，设计速度 15Km/h（困难路段 10Km/h），路基宽度4.5M，路面宽度：3.5M；标准轴载：BZZ-100,设计基准期： 10年。</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工期：120</w:t>
            </w:r>
            <w:r>
              <w:rPr>
                <w:rFonts w:ascii="仿宋_GB2312" w:hAnsi="仿宋_GB2312" w:cs="仿宋_GB2312" w:eastAsia="仿宋_GB2312"/>
                <w:sz w:val="21"/>
              </w:rPr>
              <w:t>日历天</w:t>
            </w:r>
          </w:p>
          <w:p>
            <w:pPr>
              <w:pStyle w:val="null3"/>
            </w:pPr>
            <w:r>
              <w:rPr>
                <w:rFonts w:ascii="仿宋_GB2312" w:hAnsi="仿宋_GB2312" w:cs="仿宋_GB2312" w:eastAsia="仿宋_GB2312"/>
                <w:sz w:val="21"/>
              </w:rPr>
              <w:t>缺陷责任期：</w:t>
            </w:r>
            <w:r>
              <w:rPr>
                <w:rFonts w:ascii="仿宋_GB2312" w:hAnsi="仿宋_GB2312" w:cs="仿宋_GB2312" w:eastAsia="仿宋_GB2312"/>
                <w:sz w:val="21"/>
              </w:rPr>
              <w:t>1年</w:t>
            </w:r>
          </w:p>
          <w:p>
            <w:pPr>
              <w:pStyle w:val="null3"/>
            </w:pPr>
            <w:r>
              <w:rPr>
                <w:rFonts w:ascii="仿宋_GB2312" w:hAnsi="仿宋_GB2312" w:cs="仿宋_GB2312" w:eastAsia="仿宋_GB2312"/>
                <w:sz w:val="21"/>
              </w:rPr>
              <w:t>保修期：</w:t>
            </w:r>
            <w:r>
              <w:rPr>
                <w:rFonts w:ascii="仿宋_GB2312" w:hAnsi="仿宋_GB2312" w:cs="仿宋_GB2312" w:eastAsia="仿宋_GB2312"/>
                <w:sz w:val="21"/>
              </w:rPr>
              <w:t>5年</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spacing w:before="105" w:after="105"/>
              <w:jc w:val="left"/>
            </w:pPr>
            <w:r>
              <w:rPr>
                <w:rFonts w:ascii="仿宋_GB2312" w:hAnsi="仿宋_GB2312" w:cs="仿宋_GB2312" w:eastAsia="仿宋_GB2312"/>
                <w:sz w:val="21"/>
              </w:rPr>
              <w:t>质量标准：</w:t>
            </w:r>
          </w:p>
          <w:p>
            <w:pPr>
              <w:pStyle w:val="null3"/>
              <w:spacing w:before="105" w:after="105"/>
              <w:jc w:val="left"/>
            </w:pPr>
            <w:r>
              <w:rPr>
                <w:rFonts w:ascii="仿宋_GB2312" w:hAnsi="仿宋_GB2312" w:cs="仿宋_GB2312" w:eastAsia="仿宋_GB2312"/>
                <w:sz w:val="21"/>
              </w:rPr>
              <w:t>交工验收的质量评定：合格</w:t>
            </w:r>
            <w:r>
              <w:rPr>
                <w:rFonts w:ascii="仿宋_GB2312" w:hAnsi="仿宋_GB2312" w:cs="仿宋_GB2312" w:eastAsia="仿宋_GB2312"/>
                <w:sz w:val="21"/>
              </w:rPr>
              <w:t xml:space="preserve">     </w:t>
            </w:r>
          </w:p>
          <w:p>
            <w:pPr>
              <w:pStyle w:val="null3"/>
            </w:pPr>
            <w:r>
              <w:rPr>
                <w:rFonts w:ascii="仿宋_GB2312" w:hAnsi="仿宋_GB2312" w:cs="仿宋_GB2312" w:eastAsia="仿宋_GB2312"/>
                <w:sz w:val="21"/>
              </w:rPr>
              <w:t>竣工验收的质量评定：合格</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安全目标：施工过程规范，无重大安全事故。</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本</w:t>
            </w:r>
            <w:r>
              <w:rPr>
                <w:rFonts w:ascii="仿宋_GB2312" w:hAnsi="仿宋_GB2312" w:cs="仿宋_GB2312" w:eastAsia="仿宋_GB2312"/>
                <w:sz w:val="21"/>
              </w:rPr>
              <w:t>项目采取以工代赈方式，在工程实施过程中积极运用“农村公益性基础设施建设+劳务报酬发放+就业技能培训+公益性岗位设置”赈济模式，保证工程质量的前提下，能用人工尽量不用机械、能用当地群众尽量不用专业施工队伍。预计吸纳勉县新铺镇为主的当地务工人数不少于99人（包括返乡农民工，脱贫人口，防返贫监测对象），向勉县新铺镇为主的群众发放劳务报酬不低于155万元，占中央预算内资金比例41.7%，供应商需出具以工代赈实施承诺函。</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公路行业技术规范标准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供应商需出具以工代赈实施承诺函</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应充分考虑采购文件的各项条款、项目现场实际情况、供应商所掌握的市场情况及现行有关政策法规的要求，按照采购人提供的工程量清单依照相关文件结合企业自身情况及上述要求自主做出报价；2、供应商缴纳磋商保证金时备注项目名称，将磋商保证金缴纳凭证附在响应文件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特定资格要求1</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特定资格要求2</w:t>
            </w:r>
          </w:p>
        </w:tc>
        <w:tc>
          <w:tcPr>
            <w:tcW w:type="dxa" w:w="3322"/>
          </w:tcPr>
          <w:p>
            <w:pPr>
              <w:pStyle w:val="null3"/>
            </w:pPr>
            <w:r>
              <w:rPr>
                <w:rFonts w:ascii="仿宋_GB2312" w:hAnsi="仿宋_GB2312" w:cs="仿宋_GB2312" w:eastAsia="仿宋_GB2312"/>
              </w:rPr>
              <w:t>供应商应授权合法的人员参与磋商，其中法定代表人直接参加磋商的，须出具法定代表人身份证明，并与营业执照上信息一致。法定代表人授权代表参与磋商的，须出具法定代表人授权书、授权代表身份证；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特定资格要求3</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特定资格要求4</w:t>
            </w:r>
          </w:p>
        </w:tc>
        <w:tc>
          <w:tcPr>
            <w:tcW w:type="dxa" w:w="3322"/>
          </w:tcPr>
          <w:p>
            <w:pPr>
              <w:pStyle w:val="null3"/>
            </w:pPr>
            <w:r>
              <w:rPr>
                <w:rFonts w:ascii="仿宋_GB2312" w:hAnsi="仿宋_GB2312" w:cs="仿宋_GB2312" w:eastAsia="仿宋_GB2312"/>
              </w:rPr>
              <w:t>供应商须具备建设行政主管部门核发的公路工程施工总承包三级及以上资质，并具备有效的安全生产许可证；拟派项目经理须具备公路工程专业二级及以上注册建造师执业资格和有效的安全生产考核合格证书（交安B证），且在本单位注册、无在建工程，提供相关证书及项目经理无在建证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具体按照财政部《关于推动解决政府采购异常低价问题的通知》（财库[2026]2号）文件执行。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响应性</w:t>
            </w:r>
          </w:p>
        </w:tc>
        <w:tc>
          <w:tcPr>
            <w:tcW w:type="dxa" w:w="3322"/>
          </w:tcPr>
          <w:p>
            <w:pPr>
              <w:pStyle w:val="null3"/>
            </w:pPr>
            <w:r>
              <w:rPr>
                <w:rFonts w:ascii="仿宋_GB2312" w:hAnsi="仿宋_GB2312" w:cs="仿宋_GB2312" w:eastAsia="仿宋_GB2312"/>
              </w:rPr>
              <w:t>响应文件签字、盖章及投标（响应）有效期、磋商保证金、以工代赈实施承诺函符合采购文件要求。</w:t>
            </w:r>
          </w:p>
        </w:tc>
        <w:tc>
          <w:tcPr>
            <w:tcW w:type="dxa" w:w="1661"/>
          </w:tcPr>
          <w:p>
            <w:pPr>
              <w:pStyle w:val="null3"/>
            </w:pPr>
            <w:r>
              <w:rPr>
                <w:rFonts w:ascii="仿宋_GB2312" w:hAnsi="仿宋_GB2312" w:cs="仿宋_GB2312" w:eastAsia="仿宋_GB2312"/>
              </w:rPr>
              <w:t>响应文件封面 以工代赈实施承诺函.docx 磋商保证金.docx 中小企业声明函 残疾人福利性单位声明函 报价函 技术服务合同条款及其他商务要求应答表 标的清单 响应函 监狱企业的证明文件 强制优先采购产品承诺函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符合采购文件要求，响应文件内容齐全、无遗漏</w:t>
            </w:r>
          </w:p>
        </w:tc>
        <w:tc>
          <w:tcPr>
            <w:tcW w:type="dxa" w:w="1661"/>
          </w:tcPr>
          <w:p>
            <w:pPr>
              <w:pStyle w:val="null3"/>
            </w:pPr>
            <w:r>
              <w:rPr>
                <w:rFonts w:ascii="仿宋_GB2312" w:hAnsi="仿宋_GB2312" w:cs="仿宋_GB2312" w:eastAsia="仿宋_GB2312"/>
              </w:rPr>
              <w:t>已标价工程量清单 报价函 技术服务合同条款及其他商务要求应答表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无效响应</w:t>
            </w:r>
          </w:p>
        </w:tc>
        <w:tc>
          <w:tcPr>
            <w:tcW w:type="dxa" w:w="3322"/>
          </w:tcPr>
          <w:p>
            <w:pPr>
              <w:pStyle w:val="null3"/>
            </w:pPr>
            <w:r>
              <w:rPr>
                <w:rFonts w:ascii="仿宋_GB2312" w:hAnsi="仿宋_GB2312" w:cs="仿宋_GB2312" w:eastAsia="仿宋_GB2312"/>
              </w:rPr>
              <w:t>没有出现法律法规或采购文件明确规定的其他被视为“无效响应”的情形及未实质性响应采购文件的情况</w:t>
            </w:r>
          </w:p>
        </w:tc>
        <w:tc>
          <w:tcPr>
            <w:tcW w:type="dxa" w:w="1661"/>
          </w:tcPr>
          <w:p>
            <w:pPr>
              <w:pStyle w:val="null3"/>
            </w:pPr>
            <w:r>
              <w:rPr>
                <w:rFonts w:ascii="仿宋_GB2312" w:hAnsi="仿宋_GB2312" w:cs="仿宋_GB2312" w:eastAsia="仿宋_GB2312"/>
              </w:rPr>
              <w:t>已标价工程量清单 报价函 技术服务合同条款及其他商务要求应答表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准备：技术准备、材料准备③施工平面布置与安排：现场围挡及出入口管理、交通组织安排、消防及道路安排。 二、评审标准 1、完整性：内容必须全面，对评审内容中的各项要求有详细描述； 2、可实施性：切合本项目实际情况，实施步骤清晰、合理； 3、针对性：能够紧扣项目实际情况，内容科学合理。 三、赋分标准（针对每条评审标准，如存在不合理的方面每处扣0.5分，扣完为止） ①施工目标：每完全满足一个评审标准得1分，满分3分； ②施工准备：每完全满足一个评审标准得1分，满分3分； ③施工平面布置与安排：每完全满足一个评审标准得1分，满分3分。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供应商针对本项目编制完善的施工进度计划，内容包含：①施工进度目标和施工进度计划表②进度计划保证措施③工期保证措施。 二、评审标准 1、完整性：计划必须全面，对评审内容中的各项要求有详细描述； 2、可实施性：切合本项目实际情况，实施步骤清晰、合理； 3、针对性：能够紧扣项目实际情况，内容科学合理。 三、赋分标准 （针对每条评审标准，如存在不合理的方面每处扣0.5分，扣完为止）①施工进度目标和施工进度计划表：每完全满足一个评审标准得1分，满分3分； ②进度计划保证措施：每完全满足一个评审标准得1分，满分3分； ③工期保证措施：每完全满足一个评审标准得1分，满分3分。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供应商针对本项目编制完善的施工方案，内容包含：①工程重难点及解决措施②工程施工方法③施工质量通病防治措施。 二、评审标准 1、完整性：方案必须全面，对评审内容中的各项要求有详细描述； 2、可实施性：切合本项目实际情况，提出步骤清晰、合理的方案； 3、针对性：方案能够紧扣项目实际情况，内容科学合理。 三、赋分标准（针对每条评审标准，如存在不合理的方面每处扣0.5分，扣完为止） ①工程重难点及解决措施：每完全满足一个评审标准得2分，满分6分； ②工程施工方法：每完全满足一个评审标准得2分，满分6分； ③施工质量通病防治措施：每完全满足一个评审标准得1分，满分3分。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供应商针对本项目编制完善的质量保证措施，内容包含：①质量目标管理体系②施工质量的检验制度③确保质量的技术组织措施④施工质量控制措施。 二、评审标准 1、完整性：措施必须全面，对评审内容中的各项要求有详细描述； 2、可实施性：切合本项目实际情况，实施步骤清晰、合理； 3、针对性：能够紧扣项目实际情况 ，内容科学合理。 三、赋分标准 ①质量目标管理体系：每完全满足一个评审标准得0.5分，满分1.5分； ②施工质量检验制度：每完全满足一个评审标准得0.5分，满分1.5分； ③确保质量的技术组织措施：每完全满足一个评审标准得0.5分，满分1.5分； ④施工质量控制措施：每完全满足一个评审标准得0.5分，满分1.5分。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一、评审内容 供应商针对本项目编制完整的安全文明施工措施，内容包含：①安全生产管理制度②安全文明施工措施③安全应急预案④安全生产教育。 二、评审标准 1、完整性：措施必须全面，对评审内容中的各项要求有详细描述； 2、可实施性：切合本项目实际情况， 实施步骤清晰、合理； 3、针对性：能够紧扣项目实际情况，内容科学合理。 三、赋分标准 ①安全生产管理制度：每完全满足一个评审标准得0.5分，满分1.5分； ②安全文明施工措施：每完全满足一个评审标准得0.5分，满分1.5分； ③安全应急预案：每完全满足一个评审标准得0.5分，满分1.5分； ④安全生产教育：每完全满足 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供应商针对本项目编制科学的项目管理机构，内容包含：①管理机构的配备计划及管理人员证书②组织机构的岗位职责。 二、评审标准 1、完整性：管理机构设置必须全面， 对评审内容中的各项要求有详细描述； 2、可实施性：切合本项目实际情况，实施步骤清晰、合理； 3、针对性：能够紧扣项目实际情况，内容科学合理。 三、赋分标准（针对每条评审标准，如存在不合理的方面每处扣0.5分） ①管理机构的配备计划：每完全满足一个评审标准得1分，满分3分； ②组织机构的岗位职责：每完全满足一个评审标准得1分，满分3分。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后期服务方案</w:t>
            </w:r>
          </w:p>
        </w:tc>
        <w:tc>
          <w:tcPr>
            <w:tcW w:type="dxa" w:w="2492"/>
          </w:tcPr>
          <w:p>
            <w:pPr>
              <w:pStyle w:val="null3"/>
            </w:pPr>
            <w:r>
              <w:rPr>
                <w:rFonts w:ascii="仿宋_GB2312" w:hAnsi="仿宋_GB2312" w:cs="仿宋_GB2312" w:eastAsia="仿宋_GB2312"/>
              </w:rPr>
              <w:t>一、评审内容 供应商针对本项目编制完善的后期服务方案，内容包含：①服务范围及后期保障措施②突发事件处理时限与措施③保修期④定期回访维护措施。 二、评审标准 1、完整性：方案必须全面， 对评审内容中的各项要求有详细描述； 2、可实施性：切合本项目实际情况，提出步骤清晰、合理的方案； 3、针对性：能够紧扣项目实际情况，内容科学合理。 三、赋分标准（针对每条评审标准，如存在不合理的方面每处扣0.5分，扣完为止） ①服务范围及后期保障措施：每完全满足一个评审标准得1分，满分3分； ②突发事件处理时限与措施：每完全满足一个评审标准得1分，满分3分；③保修期：每完全满足一个评审标准得1分，满分3分；④定期回访维护措施：每完全满足一个评审标准得1分，满分3分。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供应商类似业绩</w:t>
            </w:r>
          </w:p>
        </w:tc>
        <w:tc>
          <w:tcPr>
            <w:tcW w:type="dxa" w:w="2492"/>
          </w:tcPr>
          <w:p>
            <w:pPr>
              <w:pStyle w:val="null3"/>
            </w:pPr>
            <w:r>
              <w:rPr>
                <w:rFonts w:ascii="仿宋_GB2312" w:hAnsi="仿宋_GB2312" w:cs="仿宋_GB2312" w:eastAsia="仿宋_GB2312"/>
              </w:rPr>
              <w:t>供应商提供近三年（自2023年1月1日至今）类似项目业绩，响应文件中应附有其业绩证明材料，业绩以合同协议书及项目验收合格证明资料加盖公章的复印件为依据，每提供一个得2分，满分4分。以验收合格证明资料日期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项目经理基本情况</w:t>
            </w:r>
          </w:p>
        </w:tc>
        <w:tc>
          <w:tcPr>
            <w:tcW w:type="dxa" w:w="2492"/>
          </w:tcPr>
          <w:p>
            <w:pPr>
              <w:pStyle w:val="null3"/>
            </w:pPr>
            <w:r>
              <w:rPr>
                <w:rFonts w:ascii="仿宋_GB2312" w:hAnsi="仿宋_GB2312" w:cs="仿宋_GB2312" w:eastAsia="仿宋_GB2312"/>
              </w:rPr>
              <w:t>1.项目经理具有公路工程相关专业中级技术职称得0.5分；具有公路工程相关专业高级及以上技术职称得1分；需提供职称证书复印件。 2.项目经理提供近三年（自2023年1月1日至今）类似项目业绩，响应文件中应附有其业绩证明材料，业绩以合同协议书及项目验收合格证明资料加盖公章的复印件为依据，提供1个得满分2分 。以验收合格证明资料日期为准。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1、上限为采购预算价（最高限价），即报价大于上限价视为报价无效； 2、以满足本次磋商文件要求的最终价格最低报价为磋商基准价，其价格为满分；其他供应商报价得分=（磋商基准价/最终磋商报价）×30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详见附件：技术部分.docx</w:t>
      </w:r>
    </w:p>
    <w:p>
      <w:pPr>
        <w:pStyle w:val="null3"/>
        <w:ind w:firstLine="960"/>
      </w:pPr>
      <w:r>
        <w:rPr>
          <w:rFonts w:ascii="仿宋_GB2312" w:hAnsi="仿宋_GB2312" w:cs="仿宋_GB2312" w:eastAsia="仿宋_GB2312"/>
        </w:rPr>
        <w:t>详见附件：以工代赈实施承诺函.docx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详见附件：合同公路.docx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